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3"/>
        <w:gridCol w:w="6923"/>
      </w:tblGrid>
      <w:tr w:rsidR="00C86A8E" w:rsidRPr="00E85E9B" w:rsidTr="00C86A8E">
        <w:tc>
          <w:tcPr>
            <w:tcW w:w="9016" w:type="dxa"/>
            <w:gridSpan w:val="2"/>
            <w:shd w:val="clear" w:color="auto" w:fill="auto"/>
          </w:tcPr>
          <w:p w:rsidR="00E85E9B" w:rsidRPr="001972F7" w:rsidRDefault="00C86A8E" w:rsidP="00C86A8E">
            <w:pPr>
              <w:pStyle w:val="Heading1"/>
              <w:spacing w:before="0"/>
              <w:jc w:val="center"/>
              <w:outlineLvl w:val="0"/>
              <w:rPr>
                <w:rFonts w:asciiTheme="minorHAnsi" w:hAnsiTheme="minorHAnsi"/>
                <w:b/>
                <w:i/>
                <w:color w:val="000000" w:themeColor="text1"/>
                <w:sz w:val="24"/>
                <w:szCs w:val="24"/>
              </w:rPr>
            </w:pPr>
            <w:r w:rsidRPr="001972F7">
              <w:rPr>
                <w:rFonts w:asciiTheme="minorHAnsi" w:hAnsiTheme="minorHAnsi"/>
                <w:b/>
                <w:i/>
                <w:color w:val="000000" w:themeColor="text1"/>
                <w:sz w:val="24"/>
                <w:szCs w:val="24"/>
              </w:rPr>
              <w:t>Enhancing language learning in ageing with exercise</w:t>
            </w:r>
            <w:r w:rsidR="00E85E9B" w:rsidRPr="001972F7">
              <w:rPr>
                <w:rFonts w:asciiTheme="minorHAnsi" w:hAnsiTheme="minorHAnsi"/>
                <w:b/>
                <w:i/>
                <w:color w:val="000000" w:themeColor="text1"/>
                <w:sz w:val="24"/>
                <w:szCs w:val="24"/>
              </w:rPr>
              <w:t xml:space="preserve">: </w:t>
            </w:r>
          </w:p>
          <w:p w:rsidR="00C86A8E" w:rsidRPr="00E85E9B" w:rsidRDefault="00E85E9B" w:rsidP="00C86A8E">
            <w:pPr>
              <w:pStyle w:val="Heading1"/>
              <w:spacing w:before="0"/>
              <w:jc w:val="center"/>
              <w:outlineLvl w:val="0"/>
              <w:rPr>
                <w:rFonts w:asciiTheme="minorHAnsi" w:hAnsiTheme="minorHAnsi"/>
                <w:b/>
                <w:i/>
                <w:sz w:val="24"/>
                <w:szCs w:val="24"/>
              </w:rPr>
            </w:pPr>
            <w:r w:rsidRPr="001972F7">
              <w:rPr>
                <w:rFonts w:asciiTheme="minorHAnsi" w:hAnsiTheme="minorHAnsi"/>
                <w:b/>
                <w:i/>
                <w:color w:val="000000" w:themeColor="text1"/>
                <w:sz w:val="24"/>
                <w:szCs w:val="24"/>
              </w:rPr>
              <w:t xml:space="preserve">An fMRI investigation. </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Project duration</w:t>
            </w:r>
          </w:p>
        </w:tc>
        <w:tc>
          <w:tcPr>
            <w:tcW w:w="6923" w:type="dxa"/>
          </w:tcPr>
          <w:p w:rsidR="00070598" w:rsidRPr="00E85E9B" w:rsidRDefault="00E85E9B" w:rsidP="00C7412E">
            <w:pPr>
              <w:pStyle w:val="ListParagraph"/>
              <w:numPr>
                <w:ilvl w:val="0"/>
                <w:numId w:val="1"/>
              </w:numPr>
              <w:rPr>
                <w:color w:val="000000"/>
                <w:sz w:val="24"/>
                <w:szCs w:val="24"/>
              </w:rPr>
            </w:pPr>
            <w:r w:rsidRPr="00E85E9B">
              <w:rPr>
                <w:color w:val="000000"/>
                <w:sz w:val="24"/>
                <w:szCs w:val="24"/>
              </w:rPr>
              <w:t xml:space="preserve">6 weeks </w:t>
            </w:r>
          </w:p>
          <w:p w:rsidR="00110271" w:rsidRPr="00E85E9B" w:rsidRDefault="00070598" w:rsidP="00C86A8E">
            <w:pPr>
              <w:pStyle w:val="ListParagraph"/>
              <w:numPr>
                <w:ilvl w:val="0"/>
                <w:numId w:val="1"/>
              </w:numPr>
              <w:rPr>
                <w:color w:val="000000"/>
                <w:sz w:val="24"/>
                <w:szCs w:val="24"/>
              </w:rPr>
            </w:pPr>
            <w:r w:rsidRPr="00E85E9B">
              <w:rPr>
                <w:color w:val="000000"/>
                <w:sz w:val="24"/>
                <w:szCs w:val="24"/>
              </w:rPr>
              <w:t>20 hours</w:t>
            </w:r>
            <w:r w:rsidR="00C7412E" w:rsidRPr="00E85E9B">
              <w:rPr>
                <w:color w:val="000000"/>
                <w:sz w:val="24"/>
                <w:szCs w:val="24"/>
              </w:rPr>
              <w:t xml:space="preserve"> per week</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Description</w:t>
            </w:r>
          </w:p>
        </w:tc>
        <w:tc>
          <w:tcPr>
            <w:tcW w:w="6923" w:type="dxa"/>
          </w:tcPr>
          <w:p w:rsidR="0086272A" w:rsidRPr="00E85E9B" w:rsidRDefault="00070598" w:rsidP="00E85E9B">
            <w:pPr>
              <w:widowControl w:val="0"/>
              <w:autoSpaceDE w:val="0"/>
              <w:autoSpaceDN w:val="0"/>
              <w:adjustRightInd w:val="0"/>
              <w:spacing w:after="240"/>
              <w:rPr>
                <w:rFonts w:cs="Times"/>
                <w:sz w:val="24"/>
                <w:szCs w:val="24"/>
                <w:lang w:val="en-US"/>
              </w:rPr>
            </w:pPr>
            <w:r w:rsidRPr="00E85E9B">
              <w:rPr>
                <w:sz w:val="24"/>
                <w:szCs w:val="24"/>
              </w:rPr>
              <w:t xml:space="preserve">Ageing is associated with cognitive changes such as memory decline, which influences the ability to learn new words. Acute exercise (one single session of exercise) is thought to influence cognition through a temporary increase in biomarker levels or through </w:t>
            </w:r>
            <w:r w:rsidR="00E85E9B">
              <w:rPr>
                <w:sz w:val="24"/>
                <w:szCs w:val="24"/>
              </w:rPr>
              <w:t>a generalized effect on arousal, h</w:t>
            </w:r>
            <w:r w:rsidR="00E85E9B" w:rsidRPr="00E85E9B">
              <w:rPr>
                <w:sz w:val="24"/>
                <w:szCs w:val="24"/>
              </w:rPr>
              <w:t xml:space="preserve">owever </w:t>
            </w:r>
            <w:r w:rsidR="00E85E9B" w:rsidRPr="00E85E9B">
              <w:rPr>
                <w:rFonts w:eastAsiaTheme="minorEastAsia"/>
                <w:sz w:val="24"/>
                <w:szCs w:val="24"/>
              </w:rPr>
              <w:t>the neural cor</w:t>
            </w:r>
            <w:r w:rsidR="00E85E9B">
              <w:rPr>
                <w:rFonts w:eastAsiaTheme="minorEastAsia"/>
                <w:sz w:val="24"/>
                <w:szCs w:val="24"/>
              </w:rPr>
              <w:t xml:space="preserve">relates of exercise-induced new </w:t>
            </w:r>
            <w:r w:rsidR="00E85E9B" w:rsidRPr="00E85E9B">
              <w:rPr>
                <w:rFonts w:eastAsiaTheme="minorEastAsia"/>
                <w:sz w:val="24"/>
                <w:szCs w:val="24"/>
              </w:rPr>
              <w:t>word learning have yet to be explore</w:t>
            </w:r>
            <w:r w:rsidR="00E85E9B">
              <w:rPr>
                <w:rFonts w:eastAsiaTheme="minorEastAsia"/>
                <w:sz w:val="24"/>
                <w:szCs w:val="24"/>
              </w:rPr>
              <w:t>d in healthy adults. T</w:t>
            </w:r>
            <w:r w:rsidR="00E85E9B" w:rsidRPr="00E85E9B">
              <w:rPr>
                <w:rFonts w:eastAsiaTheme="minorEastAsia"/>
                <w:sz w:val="24"/>
                <w:szCs w:val="24"/>
              </w:rPr>
              <w:t xml:space="preserve">he aim of this research project is </w:t>
            </w:r>
            <w:r w:rsidR="00E85E9B" w:rsidRPr="00E85E9B">
              <w:rPr>
                <w:rFonts w:cs="Times New Roman"/>
                <w:sz w:val="24"/>
                <w:szCs w:val="24"/>
                <w:lang w:val="en-US"/>
              </w:rPr>
              <w:t xml:space="preserve">to understand how exercising affects learning and to identify underlying brain activity by training people to learn new words in a magnetic resonance imaging (MRI) scanner immediately after they have exercised. </w:t>
            </w:r>
            <w:r w:rsidRPr="00E85E9B">
              <w:rPr>
                <w:sz w:val="24"/>
                <w:szCs w:val="24"/>
              </w:rPr>
              <w:t>This interdisciplinary research project combines the fields of language neurosc</w:t>
            </w:r>
            <w:r w:rsidR="00E85E9B">
              <w:rPr>
                <w:sz w:val="24"/>
                <w:szCs w:val="24"/>
              </w:rPr>
              <w:t xml:space="preserve">ience, ageing and exercise physiology. </w:t>
            </w:r>
            <w:r w:rsidR="00E85E9B" w:rsidRPr="00E85E9B">
              <w:rPr>
                <w:sz w:val="24"/>
                <w:szCs w:val="24"/>
              </w:rPr>
              <w:t xml:space="preserve">This </w:t>
            </w:r>
            <w:r w:rsidRPr="00E85E9B">
              <w:rPr>
                <w:sz w:val="24"/>
                <w:szCs w:val="24"/>
              </w:rPr>
              <w:t>proje</w:t>
            </w:r>
            <w:r w:rsidR="00E85E9B" w:rsidRPr="00E85E9B">
              <w:rPr>
                <w:sz w:val="24"/>
                <w:szCs w:val="24"/>
              </w:rPr>
              <w:t>ct will consist of recruiting 80</w:t>
            </w:r>
            <w:r w:rsidRPr="00E85E9B">
              <w:rPr>
                <w:sz w:val="24"/>
                <w:szCs w:val="24"/>
              </w:rPr>
              <w:t xml:space="preserve"> healthy adults aged 60-85 meeting specific eligibility criteria. Participants will be asked to attend three visits and will undergo a cognitive and fitness assessment, blood draws, a stretching or exercise session (of either</w:t>
            </w:r>
            <w:r w:rsidR="00E85E9B" w:rsidRPr="00E85E9B">
              <w:rPr>
                <w:sz w:val="24"/>
                <w:szCs w:val="24"/>
              </w:rPr>
              <w:t xml:space="preserve"> moderate or high intensity), in scanner </w:t>
            </w:r>
            <w:r w:rsidRPr="00E85E9B">
              <w:rPr>
                <w:sz w:val="24"/>
                <w:szCs w:val="24"/>
              </w:rPr>
              <w:t>word learning task</w:t>
            </w:r>
            <w:r w:rsidR="00E85E9B" w:rsidRPr="00E85E9B">
              <w:rPr>
                <w:sz w:val="24"/>
                <w:szCs w:val="24"/>
              </w:rPr>
              <w:t>s</w:t>
            </w:r>
            <w:r w:rsidRPr="00E85E9B">
              <w:rPr>
                <w:sz w:val="24"/>
                <w:szCs w:val="24"/>
              </w:rPr>
              <w:t>, and recall and recognition task</w:t>
            </w:r>
            <w:r w:rsidR="00E85E9B">
              <w:rPr>
                <w:sz w:val="24"/>
                <w:szCs w:val="24"/>
              </w:rPr>
              <w:t>s</w:t>
            </w:r>
            <w:r w:rsidRPr="00E85E9B">
              <w:rPr>
                <w:sz w:val="24"/>
                <w:szCs w:val="24"/>
              </w:rPr>
              <w:t>.</w:t>
            </w:r>
            <w:r w:rsidR="00E85E9B" w:rsidRPr="00E85E9B">
              <w:rPr>
                <w:rFonts w:cs="Times New Roman"/>
                <w:sz w:val="24"/>
                <w:szCs w:val="24"/>
                <w:lang w:val="en-US"/>
              </w:rPr>
              <w:t xml:space="preserve"> This research will provide information about whether exercise can improve learning, especially word learning, and identify which parts of the brain participate in this process. Different diseases and conditions can have a negative impact on the way people use language to communicate, due to changes in the structure or function of their brain. Understanding how exercise affects language learning and the regions of the brain that support this may lead to development of new approaches to improving language re-learning in people with these conditions (e.g., stroke, Parkinson’s disease, Alzheimer’s disease). </w:t>
            </w:r>
          </w:p>
        </w:tc>
      </w:tr>
      <w:tr w:rsidR="00110271" w:rsidRPr="00E85E9B" w:rsidTr="00E85E9B">
        <w:tc>
          <w:tcPr>
            <w:tcW w:w="2093" w:type="dxa"/>
            <w:shd w:val="clear" w:color="auto" w:fill="E7E6E6" w:themeFill="background2"/>
          </w:tcPr>
          <w:p w:rsidR="00110271" w:rsidRPr="00E85E9B" w:rsidRDefault="00070598">
            <w:pPr>
              <w:rPr>
                <w:b/>
                <w:sz w:val="24"/>
                <w:szCs w:val="24"/>
              </w:rPr>
            </w:pPr>
            <w:r w:rsidRPr="00E85E9B">
              <w:rPr>
                <w:b/>
                <w:sz w:val="24"/>
                <w:szCs w:val="24"/>
              </w:rPr>
              <w:t>Position</w:t>
            </w:r>
            <w:r w:rsidR="00C7412E" w:rsidRPr="00E85E9B">
              <w:rPr>
                <w:b/>
                <w:sz w:val="24"/>
                <w:szCs w:val="24"/>
              </w:rPr>
              <w:t>/</w:t>
            </w:r>
            <w:r w:rsidRPr="00E85E9B">
              <w:rPr>
                <w:b/>
                <w:sz w:val="24"/>
                <w:szCs w:val="24"/>
              </w:rPr>
              <w:t>s available</w:t>
            </w:r>
          </w:p>
        </w:tc>
        <w:tc>
          <w:tcPr>
            <w:tcW w:w="6923" w:type="dxa"/>
          </w:tcPr>
          <w:p w:rsidR="0086272A" w:rsidRPr="00E85E9B" w:rsidRDefault="00DC524F">
            <w:pPr>
              <w:rPr>
                <w:sz w:val="24"/>
                <w:szCs w:val="24"/>
              </w:rPr>
            </w:pPr>
            <w:r>
              <w:rPr>
                <w:sz w:val="24"/>
                <w:szCs w:val="24"/>
              </w:rPr>
              <w:t>1</w:t>
            </w:r>
          </w:p>
        </w:tc>
      </w:tr>
      <w:tr w:rsidR="00110271" w:rsidRPr="00E85E9B" w:rsidTr="00E85E9B">
        <w:trPr>
          <w:trHeight w:val="906"/>
        </w:trPr>
        <w:tc>
          <w:tcPr>
            <w:tcW w:w="2093" w:type="dxa"/>
            <w:shd w:val="clear" w:color="auto" w:fill="E7E6E6" w:themeFill="background2"/>
          </w:tcPr>
          <w:p w:rsidR="00110271" w:rsidRPr="00E85E9B" w:rsidRDefault="00110271">
            <w:pPr>
              <w:rPr>
                <w:b/>
                <w:sz w:val="24"/>
                <w:szCs w:val="24"/>
              </w:rPr>
            </w:pPr>
            <w:r w:rsidRPr="00E85E9B">
              <w:rPr>
                <w:b/>
                <w:sz w:val="24"/>
                <w:szCs w:val="24"/>
              </w:rPr>
              <w:t>Primary supervisor</w:t>
            </w:r>
          </w:p>
        </w:tc>
        <w:tc>
          <w:tcPr>
            <w:tcW w:w="6923" w:type="dxa"/>
          </w:tcPr>
          <w:p w:rsidR="00070598" w:rsidRPr="00E85E9B" w:rsidRDefault="00070598" w:rsidP="00070598">
            <w:pPr>
              <w:rPr>
                <w:color w:val="000000"/>
                <w:sz w:val="24"/>
                <w:szCs w:val="24"/>
              </w:rPr>
            </w:pPr>
            <w:r w:rsidRPr="00E85E9B">
              <w:rPr>
                <w:color w:val="000000"/>
                <w:sz w:val="24"/>
                <w:szCs w:val="24"/>
              </w:rPr>
              <w:t>Professor David Copland</w:t>
            </w:r>
          </w:p>
          <w:p w:rsidR="0086272A" w:rsidRPr="00E85E9B" w:rsidRDefault="001972F7">
            <w:pPr>
              <w:rPr>
                <w:sz w:val="24"/>
                <w:szCs w:val="24"/>
              </w:rPr>
            </w:pPr>
            <w:hyperlink r:id="rId7" w:history="1">
              <w:r w:rsidR="00070598" w:rsidRPr="00E85E9B">
                <w:rPr>
                  <w:rStyle w:val="Hyperlink"/>
                  <w:sz w:val="24"/>
                  <w:szCs w:val="24"/>
                </w:rPr>
                <w:t>d.copland@uq.edu.au</w:t>
              </w:r>
            </w:hyperlink>
            <w:r w:rsidR="00070598" w:rsidRPr="00E85E9B">
              <w:rPr>
                <w:sz w:val="24"/>
                <w:szCs w:val="24"/>
              </w:rPr>
              <w:t xml:space="preserve"> </w:t>
            </w:r>
          </w:p>
        </w:tc>
      </w:tr>
      <w:tr w:rsidR="00110271" w:rsidRPr="00E85E9B" w:rsidTr="00E85E9B">
        <w:tc>
          <w:tcPr>
            <w:tcW w:w="2093" w:type="dxa"/>
            <w:shd w:val="clear" w:color="auto" w:fill="E7E6E6" w:themeFill="background2"/>
          </w:tcPr>
          <w:p w:rsidR="00110271" w:rsidRPr="00E85E9B" w:rsidRDefault="00110271">
            <w:pPr>
              <w:rPr>
                <w:b/>
                <w:sz w:val="24"/>
                <w:szCs w:val="24"/>
              </w:rPr>
            </w:pPr>
            <w:r w:rsidRPr="00E85E9B">
              <w:rPr>
                <w:b/>
                <w:sz w:val="24"/>
                <w:szCs w:val="24"/>
              </w:rPr>
              <w:t>Further information</w:t>
            </w:r>
          </w:p>
        </w:tc>
        <w:tc>
          <w:tcPr>
            <w:tcW w:w="6923" w:type="dxa"/>
          </w:tcPr>
          <w:p w:rsidR="00070598" w:rsidRPr="00E85E9B" w:rsidRDefault="00070598">
            <w:pPr>
              <w:rPr>
                <w:sz w:val="24"/>
                <w:szCs w:val="24"/>
              </w:rPr>
            </w:pPr>
            <w:r w:rsidRPr="00E85E9B">
              <w:rPr>
                <w:sz w:val="24"/>
                <w:szCs w:val="24"/>
              </w:rPr>
              <w:t xml:space="preserve">All applicants to contact the project supervisor </w:t>
            </w:r>
            <w:r w:rsidR="00180741">
              <w:rPr>
                <w:sz w:val="24"/>
                <w:szCs w:val="24"/>
              </w:rPr>
              <w:t>and Ms Marie-</w:t>
            </w:r>
            <w:proofErr w:type="spellStart"/>
            <w:r w:rsidR="00180741">
              <w:rPr>
                <w:sz w:val="24"/>
                <w:szCs w:val="24"/>
              </w:rPr>
              <w:t>Piere</w:t>
            </w:r>
            <w:proofErr w:type="spellEnd"/>
            <w:r w:rsidR="00180741">
              <w:rPr>
                <w:sz w:val="24"/>
                <w:szCs w:val="24"/>
              </w:rPr>
              <w:t xml:space="preserve"> </w:t>
            </w:r>
            <w:proofErr w:type="spellStart"/>
            <w:r w:rsidR="00180741">
              <w:rPr>
                <w:sz w:val="24"/>
                <w:szCs w:val="24"/>
              </w:rPr>
              <w:t>McSween</w:t>
            </w:r>
            <w:proofErr w:type="spellEnd"/>
            <w:r w:rsidR="00180741">
              <w:rPr>
                <w:sz w:val="24"/>
                <w:szCs w:val="24"/>
              </w:rPr>
              <w:t xml:space="preserve"> (</w:t>
            </w:r>
            <w:hyperlink r:id="rId8" w:history="1">
              <w:r w:rsidR="002246E3" w:rsidRPr="004130CB">
                <w:rPr>
                  <w:rStyle w:val="Hyperlink"/>
                  <w:sz w:val="24"/>
                  <w:szCs w:val="24"/>
                </w:rPr>
                <w:t>m.mcsween@uq.edu.au</w:t>
              </w:r>
            </w:hyperlink>
            <w:r w:rsidR="002246E3">
              <w:rPr>
                <w:sz w:val="24"/>
                <w:szCs w:val="24"/>
              </w:rPr>
              <w:t xml:space="preserve">) </w:t>
            </w:r>
            <w:r w:rsidRPr="00E85E9B">
              <w:rPr>
                <w:sz w:val="24"/>
                <w:szCs w:val="24"/>
              </w:rPr>
              <w:t>prior to submitting an application.</w:t>
            </w:r>
          </w:p>
          <w:p w:rsidR="0086272A" w:rsidRPr="00E85E9B" w:rsidRDefault="00070598" w:rsidP="00070598">
            <w:pPr>
              <w:rPr>
                <w:sz w:val="24"/>
                <w:szCs w:val="24"/>
              </w:rPr>
            </w:pPr>
            <w:r w:rsidRPr="00E85E9B">
              <w:rPr>
                <w:sz w:val="24"/>
                <w:szCs w:val="24"/>
              </w:rPr>
              <w:t xml:space="preserve">Apply via </w:t>
            </w:r>
            <w:hyperlink r:id="rId9" w:history="1">
              <w:r w:rsidRPr="00E85E9B">
                <w:rPr>
                  <w:rStyle w:val="Hyperlink"/>
                  <w:sz w:val="24"/>
                  <w:szCs w:val="24"/>
                </w:rPr>
                <w:t xml:space="preserve">UQ </w:t>
              </w:r>
              <w:proofErr w:type="spellStart"/>
              <w:r w:rsidRPr="00E85E9B">
                <w:rPr>
                  <w:rStyle w:val="Hyperlink"/>
                  <w:sz w:val="24"/>
                  <w:szCs w:val="24"/>
                </w:rPr>
                <w:t>Advantange</w:t>
              </w:r>
              <w:proofErr w:type="spellEnd"/>
            </w:hyperlink>
            <w:r w:rsidRPr="00E85E9B">
              <w:rPr>
                <w:sz w:val="24"/>
                <w:szCs w:val="24"/>
              </w:rPr>
              <w:t>.</w:t>
            </w:r>
          </w:p>
        </w:tc>
      </w:tr>
    </w:tbl>
    <w:p w:rsidR="0086272A" w:rsidRPr="00E85E9B" w:rsidRDefault="0086272A">
      <w:pPr>
        <w:rPr>
          <w:sz w:val="24"/>
          <w:szCs w:val="24"/>
        </w:rPr>
      </w:pPr>
    </w:p>
    <w:p w:rsidR="00EB07E6" w:rsidRDefault="00EB07E6">
      <w:pPr>
        <w:rPr>
          <w:sz w:val="24"/>
          <w:szCs w:val="24"/>
        </w:rPr>
      </w:pPr>
    </w:p>
    <w:p w:rsidR="00DC524F" w:rsidRDefault="00DC524F">
      <w:pPr>
        <w:rPr>
          <w:sz w:val="24"/>
          <w:szCs w:val="24"/>
        </w:rPr>
      </w:pPr>
    </w:p>
    <w:p w:rsidR="00DC524F" w:rsidRDefault="00DC524F">
      <w:pPr>
        <w:rPr>
          <w:sz w:val="24"/>
          <w:szCs w:val="24"/>
        </w:rPr>
      </w:pPr>
    </w:p>
    <w:tbl>
      <w:tblPr>
        <w:tblStyle w:val="TableGrid"/>
        <w:tblW w:w="0" w:type="auto"/>
        <w:tblLook w:val="04A0" w:firstRow="1" w:lastRow="0" w:firstColumn="1" w:lastColumn="0" w:noHBand="0" w:noVBand="1"/>
      </w:tblPr>
      <w:tblGrid>
        <w:gridCol w:w="2093"/>
        <w:gridCol w:w="6923"/>
      </w:tblGrid>
      <w:tr w:rsidR="00DC524F" w:rsidRPr="00E85E9B" w:rsidTr="00556FFF">
        <w:tc>
          <w:tcPr>
            <w:tcW w:w="9016" w:type="dxa"/>
            <w:gridSpan w:val="2"/>
            <w:shd w:val="clear" w:color="auto" w:fill="auto"/>
          </w:tcPr>
          <w:p w:rsidR="00DC524F" w:rsidRPr="00E85E9B" w:rsidRDefault="002246E3" w:rsidP="00556FFF">
            <w:pPr>
              <w:pStyle w:val="Heading1"/>
              <w:spacing w:before="0"/>
              <w:jc w:val="center"/>
              <w:outlineLvl w:val="0"/>
              <w:rPr>
                <w:rFonts w:asciiTheme="minorHAnsi" w:hAnsiTheme="minorHAnsi"/>
                <w:b/>
                <w:i/>
                <w:sz w:val="24"/>
                <w:szCs w:val="24"/>
              </w:rPr>
            </w:pPr>
            <w:bookmarkStart w:id="0" w:name="_GoBack" w:colFirst="0" w:colLast="2"/>
            <w:r>
              <w:rPr>
                <w:rFonts w:asciiTheme="minorHAnsi" w:hAnsiTheme="minorHAnsi"/>
                <w:b/>
                <w:i/>
                <w:sz w:val="24"/>
                <w:szCs w:val="24"/>
              </w:rPr>
              <w:lastRenderedPageBreak/>
              <w:t>Predicting and promoting post-stroke aphasia recovery</w:t>
            </w:r>
            <w:r w:rsidR="00DC524F" w:rsidRPr="00E85E9B">
              <w:rPr>
                <w:rFonts w:asciiTheme="minorHAnsi" w:hAnsiTheme="minorHAnsi"/>
                <w:b/>
                <w:i/>
                <w:sz w:val="24"/>
                <w:szCs w:val="24"/>
              </w:rPr>
              <w:t xml:space="preserve">. </w:t>
            </w:r>
          </w:p>
        </w:tc>
      </w:tr>
      <w:tr w:rsidR="00DC524F" w:rsidRPr="00E85E9B" w:rsidTr="00556FFF">
        <w:tc>
          <w:tcPr>
            <w:tcW w:w="2093" w:type="dxa"/>
            <w:shd w:val="clear" w:color="auto" w:fill="E7E6E6" w:themeFill="background2"/>
          </w:tcPr>
          <w:p w:rsidR="00DC524F" w:rsidRPr="00E85E9B" w:rsidRDefault="00DC524F" w:rsidP="00556FFF">
            <w:pPr>
              <w:rPr>
                <w:b/>
                <w:sz w:val="24"/>
                <w:szCs w:val="24"/>
              </w:rPr>
            </w:pPr>
            <w:r w:rsidRPr="00E85E9B">
              <w:rPr>
                <w:b/>
                <w:sz w:val="24"/>
                <w:szCs w:val="24"/>
              </w:rPr>
              <w:t>Project duration</w:t>
            </w:r>
          </w:p>
        </w:tc>
        <w:tc>
          <w:tcPr>
            <w:tcW w:w="6923" w:type="dxa"/>
          </w:tcPr>
          <w:p w:rsidR="00DC524F" w:rsidRPr="00E85E9B" w:rsidRDefault="00DC524F" w:rsidP="00556FFF">
            <w:pPr>
              <w:pStyle w:val="ListParagraph"/>
              <w:numPr>
                <w:ilvl w:val="0"/>
                <w:numId w:val="1"/>
              </w:numPr>
              <w:rPr>
                <w:color w:val="000000"/>
                <w:sz w:val="24"/>
                <w:szCs w:val="24"/>
              </w:rPr>
            </w:pPr>
            <w:r w:rsidRPr="00E85E9B">
              <w:rPr>
                <w:color w:val="000000"/>
                <w:sz w:val="24"/>
                <w:szCs w:val="24"/>
              </w:rPr>
              <w:t xml:space="preserve">6 weeks </w:t>
            </w:r>
          </w:p>
          <w:p w:rsidR="00DC524F" w:rsidRPr="00E85E9B" w:rsidRDefault="00DC524F" w:rsidP="00556FFF">
            <w:pPr>
              <w:pStyle w:val="ListParagraph"/>
              <w:numPr>
                <w:ilvl w:val="0"/>
                <w:numId w:val="1"/>
              </w:numPr>
              <w:rPr>
                <w:color w:val="000000"/>
                <w:sz w:val="24"/>
                <w:szCs w:val="24"/>
              </w:rPr>
            </w:pPr>
            <w:r w:rsidRPr="00E85E9B">
              <w:rPr>
                <w:color w:val="000000"/>
                <w:sz w:val="24"/>
                <w:szCs w:val="24"/>
              </w:rPr>
              <w:t>20 hours per week</w:t>
            </w:r>
          </w:p>
        </w:tc>
      </w:tr>
      <w:tr w:rsidR="00DC524F" w:rsidRPr="00E85E9B" w:rsidTr="00556FFF">
        <w:tc>
          <w:tcPr>
            <w:tcW w:w="2093" w:type="dxa"/>
            <w:shd w:val="clear" w:color="auto" w:fill="E7E6E6" w:themeFill="background2"/>
          </w:tcPr>
          <w:p w:rsidR="00DC524F" w:rsidRPr="00E85E9B" w:rsidRDefault="00DC524F" w:rsidP="00556FFF">
            <w:pPr>
              <w:rPr>
                <w:b/>
                <w:sz w:val="24"/>
                <w:szCs w:val="24"/>
              </w:rPr>
            </w:pPr>
            <w:r w:rsidRPr="00E85E9B">
              <w:rPr>
                <w:b/>
                <w:sz w:val="24"/>
                <w:szCs w:val="24"/>
              </w:rPr>
              <w:t>Description</w:t>
            </w:r>
          </w:p>
        </w:tc>
        <w:tc>
          <w:tcPr>
            <w:tcW w:w="6923" w:type="dxa"/>
          </w:tcPr>
          <w:p w:rsidR="00DC524F" w:rsidRPr="00615BF7" w:rsidRDefault="00917596" w:rsidP="00615BF7">
            <w:pPr>
              <w:autoSpaceDE w:val="0"/>
              <w:autoSpaceDN w:val="0"/>
              <w:adjustRightInd w:val="0"/>
              <w:rPr>
                <w:rFonts w:ascii="Times New Roman" w:hAnsi="Times New Roman" w:cs="Times New Roman"/>
                <w:color w:val="003063"/>
                <w:lang w:val="en-US"/>
              </w:rPr>
            </w:pPr>
            <w:r>
              <w:rPr>
                <w:rFonts w:ascii="Times New Roman" w:hAnsi="Times New Roman" w:cs="Times New Roman"/>
                <w:color w:val="003063"/>
                <w:lang w:val="en-US"/>
              </w:rPr>
              <w:t>The aim of this NHMRC funded project is to determine whether brain activity and structure observed after stroke predict subsequent language symptom recovery and response to treatment. Participants with post-stroke aphasia will be tested on a clinically meaningful language battery and scanned at 1, 3 and 6</w:t>
            </w:r>
            <w:r w:rsidR="00615BF7">
              <w:rPr>
                <w:rFonts w:ascii="Times New Roman" w:hAnsi="Times New Roman" w:cs="Times New Roman"/>
                <w:color w:val="003063"/>
                <w:lang w:val="en-US"/>
              </w:rPr>
              <w:t xml:space="preserve"> </w:t>
            </w:r>
            <w:r>
              <w:rPr>
                <w:rFonts w:ascii="Times New Roman" w:hAnsi="Times New Roman" w:cs="Times New Roman"/>
                <w:color w:val="003063"/>
                <w:lang w:val="en-US"/>
              </w:rPr>
              <w:t>months post-onset, with half the participants receiving treatment at 1 month. Imaging will be used to identify language-related brain activity, white matter</w:t>
            </w:r>
            <w:r w:rsidR="00615BF7">
              <w:rPr>
                <w:rFonts w:ascii="Times New Roman" w:hAnsi="Times New Roman" w:cs="Times New Roman"/>
                <w:color w:val="003063"/>
                <w:lang w:val="en-US"/>
              </w:rPr>
              <w:t xml:space="preserve"> </w:t>
            </w:r>
            <w:r>
              <w:rPr>
                <w:rFonts w:ascii="Times New Roman" w:hAnsi="Times New Roman" w:cs="Times New Roman"/>
                <w:color w:val="003063"/>
                <w:lang w:val="en-US"/>
              </w:rPr>
              <w:t xml:space="preserve">tract integrity, and lesion-symptom </w:t>
            </w:r>
            <w:proofErr w:type="spellStart"/>
            <w:r>
              <w:rPr>
                <w:rFonts w:ascii="Times New Roman" w:hAnsi="Times New Roman" w:cs="Times New Roman"/>
                <w:color w:val="003063"/>
                <w:lang w:val="en-US"/>
              </w:rPr>
              <w:t>mapping.This</w:t>
            </w:r>
            <w:proofErr w:type="spellEnd"/>
            <w:r>
              <w:rPr>
                <w:rFonts w:ascii="Times New Roman" w:hAnsi="Times New Roman" w:cs="Times New Roman"/>
                <w:color w:val="003063"/>
                <w:lang w:val="en-US"/>
              </w:rPr>
              <w:t xml:space="preserve"> research will determine the best clinical and imaging predictors of language improvement and treatment</w:t>
            </w:r>
            <w:r w:rsidR="00615BF7">
              <w:rPr>
                <w:rFonts w:ascii="Times New Roman" w:hAnsi="Times New Roman" w:cs="Times New Roman"/>
                <w:color w:val="003063"/>
                <w:lang w:val="en-US"/>
              </w:rPr>
              <w:t xml:space="preserve"> </w:t>
            </w:r>
            <w:r>
              <w:rPr>
                <w:rFonts w:ascii="Times New Roman" w:hAnsi="Times New Roman" w:cs="Times New Roman"/>
                <w:color w:val="003063"/>
                <w:lang w:val="en-US"/>
              </w:rPr>
              <w:t>response in the critical subacute phase of brain recovery</w:t>
            </w:r>
            <w:r w:rsidR="00615BF7">
              <w:rPr>
                <w:rFonts w:ascii="Times New Roman" w:hAnsi="Times New Roman" w:cs="Times New Roman"/>
                <w:color w:val="003063"/>
                <w:lang w:val="en-US"/>
              </w:rPr>
              <w:t xml:space="preserve">. </w:t>
            </w:r>
          </w:p>
        </w:tc>
      </w:tr>
      <w:tr w:rsidR="00DC524F" w:rsidRPr="00E85E9B" w:rsidTr="00556FFF">
        <w:tc>
          <w:tcPr>
            <w:tcW w:w="2093" w:type="dxa"/>
            <w:shd w:val="clear" w:color="auto" w:fill="E7E6E6" w:themeFill="background2"/>
          </w:tcPr>
          <w:p w:rsidR="00DC524F" w:rsidRPr="00E85E9B" w:rsidRDefault="00DC524F" w:rsidP="00556FFF">
            <w:pPr>
              <w:rPr>
                <w:b/>
                <w:sz w:val="24"/>
                <w:szCs w:val="24"/>
              </w:rPr>
            </w:pPr>
            <w:r w:rsidRPr="00E85E9B">
              <w:rPr>
                <w:b/>
                <w:sz w:val="24"/>
                <w:szCs w:val="24"/>
              </w:rPr>
              <w:t>Position/s available</w:t>
            </w:r>
          </w:p>
        </w:tc>
        <w:tc>
          <w:tcPr>
            <w:tcW w:w="6923" w:type="dxa"/>
          </w:tcPr>
          <w:p w:rsidR="00DC524F" w:rsidRPr="00E85E9B" w:rsidRDefault="002246E3" w:rsidP="00556FFF">
            <w:pPr>
              <w:rPr>
                <w:sz w:val="24"/>
                <w:szCs w:val="24"/>
              </w:rPr>
            </w:pPr>
            <w:r>
              <w:rPr>
                <w:sz w:val="24"/>
                <w:szCs w:val="24"/>
              </w:rPr>
              <w:t>2</w:t>
            </w:r>
          </w:p>
        </w:tc>
      </w:tr>
      <w:tr w:rsidR="00DC524F" w:rsidRPr="00E85E9B" w:rsidTr="00556FFF">
        <w:trPr>
          <w:trHeight w:val="906"/>
        </w:trPr>
        <w:tc>
          <w:tcPr>
            <w:tcW w:w="2093" w:type="dxa"/>
            <w:shd w:val="clear" w:color="auto" w:fill="E7E6E6" w:themeFill="background2"/>
          </w:tcPr>
          <w:p w:rsidR="00DC524F" w:rsidRPr="00E85E9B" w:rsidRDefault="00DC524F" w:rsidP="00556FFF">
            <w:pPr>
              <w:rPr>
                <w:b/>
                <w:sz w:val="24"/>
                <w:szCs w:val="24"/>
              </w:rPr>
            </w:pPr>
            <w:r w:rsidRPr="00E85E9B">
              <w:rPr>
                <w:b/>
                <w:sz w:val="24"/>
                <w:szCs w:val="24"/>
              </w:rPr>
              <w:t>Primary supervisor</w:t>
            </w:r>
          </w:p>
        </w:tc>
        <w:tc>
          <w:tcPr>
            <w:tcW w:w="6923" w:type="dxa"/>
          </w:tcPr>
          <w:p w:rsidR="00DC524F" w:rsidRPr="00E85E9B" w:rsidRDefault="00DC524F" w:rsidP="00556FFF">
            <w:pPr>
              <w:rPr>
                <w:color w:val="000000"/>
                <w:sz w:val="24"/>
                <w:szCs w:val="24"/>
              </w:rPr>
            </w:pPr>
            <w:r w:rsidRPr="00E85E9B">
              <w:rPr>
                <w:color w:val="000000"/>
                <w:sz w:val="24"/>
                <w:szCs w:val="24"/>
              </w:rPr>
              <w:t>Professor David Copland</w:t>
            </w:r>
          </w:p>
          <w:p w:rsidR="00DC524F" w:rsidRPr="00E85E9B" w:rsidRDefault="001972F7" w:rsidP="00556FFF">
            <w:pPr>
              <w:rPr>
                <w:sz w:val="24"/>
                <w:szCs w:val="24"/>
              </w:rPr>
            </w:pPr>
            <w:hyperlink r:id="rId10" w:history="1">
              <w:r w:rsidR="00DC524F" w:rsidRPr="00E85E9B">
                <w:rPr>
                  <w:rStyle w:val="Hyperlink"/>
                  <w:sz w:val="24"/>
                  <w:szCs w:val="24"/>
                </w:rPr>
                <w:t>d.copland@uq.edu.au</w:t>
              </w:r>
            </w:hyperlink>
            <w:r w:rsidR="00DC524F" w:rsidRPr="00E85E9B">
              <w:rPr>
                <w:sz w:val="24"/>
                <w:szCs w:val="24"/>
              </w:rPr>
              <w:t xml:space="preserve"> </w:t>
            </w:r>
          </w:p>
        </w:tc>
      </w:tr>
      <w:tr w:rsidR="00DC524F" w:rsidRPr="00E85E9B" w:rsidTr="00556FFF">
        <w:tc>
          <w:tcPr>
            <w:tcW w:w="2093" w:type="dxa"/>
            <w:shd w:val="clear" w:color="auto" w:fill="E7E6E6" w:themeFill="background2"/>
          </w:tcPr>
          <w:p w:rsidR="00DC524F" w:rsidRPr="00E85E9B" w:rsidRDefault="00DC524F" w:rsidP="00556FFF">
            <w:pPr>
              <w:rPr>
                <w:b/>
                <w:sz w:val="24"/>
                <w:szCs w:val="24"/>
              </w:rPr>
            </w:pPr>
            <w:r w:rsidRPr="00E85E9B">
              <w:rPr>
                <w:b/>
                <w:sz w:val="24"/>
                <w:szCs w:val="24"/>
              </w:rPr>
              <w:t>Further information</w:t>
            </w:r>
          </w:p>
        </w:tc>
        <w:tc>
          <w:tcPr>
            <w:tcW w:w="6923" w:type="dxa"/>
          </w:tcPr>
          <w:p w:rsidR="00DC524F" w:rsidRPr="00E85E9B" w:rsidRDefault="00DC524F" w:rsidP="00556FFF">
            <w:pPr>
              <w:rPr>
                <w:sz w:val="24"/>
                <w:szCs w:val="24"/>
              </w:rPr>
            </w:pPr>
            <w:r w:rsidRPr="00E85E9B">
              <w:rPr>
                <w:sz w:val="24"/>
                <w:szCs w:val="24"/>
              </w:rPr>
              <w:t xml:space="preserve">All applicants to contact </w:t>
            </w:r>
            <w:r w:rsidR="00F24087">
              <w:rPr>
                <w:sz w:val="24"/>
                <w:szCs w:val="24"/>
              </w:rPr>
              <w:t>Prof Copland and Dr Tracy Roxbury (</w:t>
            </w:r>
            <w:hyperlink r:id="rId11" w:history="1">
              <w:r w:rsidR="00F24087" w:rsidRPr="004130CB">
                <w:rPr>
                  <w:rStyle w:val="Hyperlink"/>
                  <w:sz w:val="24"/>
                  <w:szCs w:val="24"/>
                </w:rPr>
                <w:t>t.roxbury@uq.edu.au</w:t>
              </w:r>
            </w:hyperlink>
            <w:r w:rsidR="00F24087">
              <w:rPr>
                <w:sz w:val="24"/>
                <w:szCs w:val="24"/>
              </w:rPr>
              <w:t xml:space="preserve">) </w:t>
            </w:r>
            <w:r w:rsidRPr="00E85E9B">
              <w:rPr>
                <w:sz w:val="24"/>
                <w:szCs w:val="24"/>
              </w:rPr>
              <w:t xml:space="preserve"> prior to submitting an application.</w:t>
            </w:r>
          </w:p>
          <w:p w:rsidR="00DC524F" w:rsidRPr="00E85E9B" w:rsidRDefault="00DC524F" w:rsidP="00556FFF">
            <w:pPr>
              <w:rPr>
                <w:sz w:val="24"/>
                <w:szCs w:val="24"/>
              </w:rPr>
            </w:pPr>
            <w:r w:rsidRPr="00E85E9B">
              <w:rPr>
                <w:sz w:val="24"/>
                <w:szCs w:val="24"/>
              </w:rPr>
              <w:t xml:space="preserve">Apply via </w:t>
            </w:r>
            <w:hyperlink r:id="rId12" w:history="1">
              <w:r w:rsidRPr="00E85E9B">
                <w:rPr>
                  <w:rStyle w:val="Hyperlink"/>
                  <w:sz w:val="24"/>
                  <w:szCs w:val="24"/>
                </w:rPr>
                <w:t xml:space="preserve">UQ </w:t>
              </w:r>
              <w:proofErr w:type="spellStart"/>
              <w:r w:rsidRPr="00E85E9B">
                <w:rPr>
                  <w:rStyle w:val="Hyperlink"/>
                  <w:sz w:val="24"/>
                  <w:szCs w:val="24"/>
                </w:rPr>
                <w:t>Advantange</w:t>
              </w:r>
              <w:proofErr w:type="spellEnd"/>
            </w:hyperlink>
            <w:r w:rsidRPr="00E85E9B">
              <w:rPr>
                <w:sz w:val="24"/>
                <w:szCs w:val="24"/>
              </w:rPr>
              <w:t>.</w:t>
            </w:r>
          </w:p>
        </w:tc>
      </w:tr>
      <w:bookmarkEnd w:id="0"/>
    </w:tbl>
    <w:p w:rsidR="00DC524F" w:rsidRPr="00E85E9B" w:rsidRDefault="00DC524F">
      <w:pPr>
        <w:rPr>
          <w:sz w:val="24"/>
          <w:szCs w:val="24"/>
        </w:rPr>
      </w:pPr>
    </w:p>
    <w:sectPr w:rsidR="00DC524F" w:rsidRPr="00E85E9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69" w:rsidRDefault="00F63569" w:rsidP="00F63569">
      <w:pPr>
        <w:spacing w:after="0" w:line="240" w:lineRule="auto"/>
      </w:pPr>
      <w:r>
        <w:separator/>
      </w:r>
    </w:p>
  </w:endnote>
  <w:endnote w:type="continuationSeparator" w:id="0">
    <w:p w:rsidR="00F63569" w:rsidRDefault="00F63569" w:rsidP="00F6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69" w:rsidRDefault="00F63569" w:rsidP="00F63569">
      <w:pPr>
        <w:spacing w:after="0" w:line="240" w:lineRule="auto"/>
      </w:pPr>
      <w:r>
        <w:separator/>
      </w:r>
    </w:p>
  </w:footnote>
  <w:footnote w:type="continuationSeparator" w:id="0">
    <w:p w:rsidR="00F63569" w:rsidRDefault="00F63569" w:rsidP="00F6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69" w:rsidRDefault="00F63569" w:rsidP="00F63569">
    <w:pPr>
      <w:rPr>
        <w:b/>
        <w:color w:val="000000"/>
        <w:sz w:val="32"/>
      </w:rPr>
    </w:pPr>
    <w:r w:rsidRPr="00454FF1">
      <w:rPr>
        <w:b/>
        <w:color w:val="000000"/>
        <w:sz w:val="32"/>
      </w:rPr>
      <w:t>UQ Summer</w:t>
    </w:r>
    <w:r>
      <w:rPr>
        <w:b/>
        <w:color w:val="000000"/>
        <w:sz w:val="32"/>
      </w:rPr>
      <w:t xml:space="preserve"> 2018/2019 </w:t>
    </w:r>
    <w:r w:rsidRPr="00454FF1">
      <w:rPr>
        <w:b/>
        <w:color w:val="000000"/>
        <w:sz w:val="32"/>
      </w:rPr>
      <w:t>Research Project Description</w:t>
    </w:r>
    <w:r>
      <w:rPr>
        <w:b/>
        <w:color w:val="000000"/>
        <w:sz w:val="32"/>
      </w:rPr>
      <w:t xml:space="preserve"> </w:t>
    </w:r>
  </w:p>
  <w:p w:rsidR="00F63569" w:rsidRDefault="00F6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88"/>
    <w:multiLevelType w:val="hybridMultilevel"/>
    <w:tmpl w:val="BC6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76B82"/>
    <w:multiLevelType w:val="hybridMultilevel"/>
    <w:tmpl w:val="641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474324"/>
    <w:multiLevelType w:val="hybridMultilevel"/>
    <w:tmpl w:val="04267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DA0BA0"/>
    <w:multiLevelType w:val="hybridMultilevel"/>
    <w:tmpl w:val="5C4C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71"/>
    <w:rsid w:val="00070598"/>
    <w:rsid w:val="000B216F"/>
    <w:rsid w:val="000E443B"/>
    <w:rsid w:val="00110271"/>
    <w:rsid w:val="00180741"/>
    <w:rsid w:val="001825BB"/>
    <w:rsid w:val="001972F7"/>
    <w:rsid w:val="002246E3"/>
    <w:rsid w:val="00240DCC"/>
    <w:rsid w:val="00404CFA"/>
    <w:rsid w:val="00446514"/>
    <w:rsid w:val="00496187"/>
    <w:rsid w:val="004E40FD"/>
    <w:rsid w:val="00580C35"/>
    <w:rsid w:val="00615BF7"/>
    <w:rsid w:val="006B0711"/>
    <w:rsid w:val="00806DC0"/>
    <w:rsid w:val="0086272A"/>
    <w:rsid w:val="00917596"/>
    <w:rsid w:val="00A14E10"/>
    <w:rsid w:val="00A5338B"/>
    <w:rsid w:val="00A97155"/>
    <w:rsid w:val="00B512D4"/>
    <w:rsid w:val="00C53E04"/>
    <w:rsid w:val="00C7412E"/>
    <w:rsid w:val="00C86A8E"/>
    <w:rsid w:val="00CC6439"/>
    <w:rsid w:val="00D514DF"/>
    <w:rsid w:val="00DC524F"/>
    <w:rsid w:val="00E85E9B"/>
    <w:rsid w:val="00EB07E6"/>
    <w:rsid w:val="00F24087"/>
    <w:rsid w:val="00F63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28B846-17DF-8A4B-972D-758CFF70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598"/>
    <w:rPr>
      <w:color w:val="0563C1" w:themeColor="hyperlink"/>
      <w:u w:val="single"/>
    </w:rPr>
  </w:style>
  <w:style w:type="paragraph" w:styleId="ListParagraph">
    <w:name w:val="List Paragraph"/>
    <w:basedOn w:val="Normal"/>
    <w:uiPriority w:val="34"/>
    <w:qFormat/>
    <w:rsid w:val="00C7412E"/>
    <w:pPr>
      <w:ind w:left="720"/>
      <w:contextualSpacing/>
    </w:pPr>
  </w:style>
  <w:style w:type="character" w:customStyle="1" w:styleId="Heading1Char">
    <w:name w:val="Heading 1 Char"/>
    <w:basedOn w:val="DefaultParagraphFont"/>
    <w:link w:val="Heading1"/>
    <w:uiPriority w:val="9"/>
    <w:rsid w:val="00C86A8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246E3"/>
    <w:rPr>
      <w:color w:val="605E5C"/>
      <w:shd w:val="clear" w:color="auto" w:fill="E1DFDD"/>
    </w:rPr>
  </w:style>
  <w:style w:type="paragraph" w:styleId="Header">
    <w:name w:val="header"/>
    <w:basedOn w:val="Normal"/>
    <w:link w:val="HeaderChar"/>
    <w:uiPriority w:val="99"/>
    <w:unhideWhenUsed/>
    <w:rsid w:val="00F6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69"/>
  </w:style>
  <w:style w:type="paragraph" w:styleId="Footer">
    <w:name w:val="footer"/>
    <w:basedOn w:val="Normal"/>
    <w:link w:val="FooterChar"/>
    <w:uiPriority w:val="99"/>
    <w:unhideWhenUsed/>
    <w:rsid w:val="00F6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4974">
      <w:bodyDiv w:val="1"/>
      <w:marLeft w:val="0"/>
      <w:marRight w:val="0"/>
      <w:marTop w:val="0"/>
      <w:marBottom w:val="0"/>
      <w:divBdr>
        <w:top w:val="none" w:sz="0" w:space="0" w:color="auto"/>
        <w:left w:val="none" w:sz="0" w:space="0" w:color="auto"/>
        <w:bottom w:val="none" w:sz="0" w:space="0" w:color="auto"/>
        <w:right w:val="none" w:sz="0" w:space="0" w:color="auto"/>
      </w:divBdr>
    </w:div>
    <w:div w:id="176846125">
      <w:bodyDiv w:val="1"/>
      <w:marLeft w:val="0"/>
      <w:marRight w:val="0"/>
      <w:marTop w:val="0"/>
      <w:marBottom w:val="0"/>
      <w:divBdr>
        <w:top w:val="none" w:sz="0" w:space="0" w:color="auto"/>
        <w:left w:val="none" w:sz="0" w:space="0" w:color="auto"/>
        <w:bottom w:val="none" w:sz="0" w:space="0" w:color="auto"/>
        <w:right w:val="none" w:sz="0" w:space="0" w:color="auto"/>
      </w:divBdr>
    </w:div>
    <w:div w:id="283192200">
      <w:bodyDiv w:val="1"/>
      <w:marLeft w:val="0"/>
      <w:marRight w:val="0"/>
      <w:marTop w:val="0"/>
      <w:marBottom w:val="0"/>
      <w:divBdr>
        <w:top w:val="none" w:sz="0" w:space="0" w:color="auto"/>
        <w:left w:val="none" w:sz="0" w:space="0" w:color="auto"/>
        <w:bottom w:val="none" w:sz="0" w:space="0" w:color="auto"/>
        <w:right w:val="none" w:sz="0" w:space="0" w:color="auto"/>
      </w:divBdr>
    </w:div>
    <w:div w:id="309293711">
      <w:bodyDiv w:val="1"/>
      <w:marLeft w:val="0"/>
      <w:marRight w:val="0"/>
      <w:marTop w:val="0"/>
      <w:marBottom w:val="0"/>
      <w:divBdr>
        <w:top w:val="none" w:sz="0" w:space="0" w:color="auto"/>
        <w:left w:val="none" w:sz="0" w:space="0" w:color="auto"/>
        <w:bottom w:val="none" w:sz="0" w:space="0" w:color="auto"/>
        <w:right w:val="none" w:sz="0" w:space="0" w:color="auto"/>
      </w:divBdr>
    </w:div>
    <w:div w:id="312834855">
      <w:bodyDiv w:val="1"/>
      <w:marLeft w:val="0"/>
      <w:marRight w:val="0"/>
      <w:marTop w:val="0"/>
      <w:marBottom w:val="0"/>
      <w:divBdr>
        <w:top w:val="none" w:sz="0" w:space="0" w:color="auto"/>
        <w:left w:val="none" w:sz="0" w:space="0" w:color="auto"/>
        <w:bottom w:val="none" w:sz="0" w:space="0" w:color="auto"/>
        <w:right w:val="none" w:sz="0" w:space="0" w:color="auto"/>
      </w:divBdr>
    </w:div>
    <w:div w:id="380326408">
      <w:bodyDiv w:val="1"/>
      <w:marLeft w:val="0"/>
      <w:marRight w:val="0"/>
      <w:marTop w:val="0"/>
      <w:marBottom w:val="0"/>
      <w:divBdr>
        <w:top w:val="none" w:sz="0" w:space="0" w:color="auto"/>
        <w:left w:val="none" w:sz="0" w:space="0" w:color="auto"/>
        <w:bottom w:val="none" w:sz="0" w:space="0" w:color="auto"/>
        <w:right w:val="none" w:sz="0" w:space="0" w:color="auto"/>
      </w:divBdr>
    </w:div>
    <w:div w:id="624313678">
      <w:bodyDiv w:val="1"/>
      <w:marLeft w:val="0"/>
      <w:marRight w:val="0"/>
      <w:marTop w:val="0"/>
      <w:marBottom w:val="0"/>
      <w:divBdr>
        <w:top w:val="none" w:sz="0" w:space="0" w:color="auto"/>
        <w:left w:val="none" w:sz="0" w:space="0" w:color="auto"/>
        <w:bottom w:val="none" w:sz="0" w:space="0" w:color="auto"/>
        <w:right w:val="none" w:sz="0" w:space="0" w:color="auto"/>
      </w:divBdr>
    </w:div>
    <w:div w:id="808666239">
      <w:bodyDiv w:val="1"/>
      <w:marLeft w:val="0"/>
      <w:marRight w:val="0"/>
      <w:marTop w:val="0"/>
      <w:marBottom w:val="0"/>
      <w:divBdr>
        <w:top w:val="none" w:sz="0" w:space="0" w:color="auto"/>
        <w:left w:val="none" w:sz="0" w:space="0" w:color="auto"/>
        <w:bottom w:val="none" w:sz="0" w:space="0" w:color="auto"/>
        <w:right w:val="none" w:sz="0" w:space="0" w:color="auto"/>
      </w:divBdr>
    </w:div>
    <w:div w:id="1429503579">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890610157">
      <w:bodyDiv w:val="1"/>
      <w:marLeft w:val="0"/>
      <w:marRight w:val="0"/>
      <w:marTop w:val="0"/>
      <w:marBottom w:val="0"/>
      <w:divBdr>
        <w:top w:val="none" w:sz="0" w:space="0" w:color="auto"/>
        <w:left w:val="none" w:sz="0" w:space="0" w:color="auto"/>
        <w:bottom w:val="none" w:sz="0" w:space="0" w:color="auto"/>
        <w:right w:val="none" w:sz="0" w:space="0" w:color="auto"/>
      </w:divBdr>
    </w:div>
    <w:div w:id="1958102760">
      <w:bodyDiv w:val="1"/>
      <w:marLeft w:val="0"/>
      <w:marRight w:val="0"/>
      <w:marTop w:val="0"/>
      <w:marBottom w:val="0"/>
      <w:divBdr>
        <w:top w:val="none" w:sz="0" w:space="0" w:color="auto"/>
        <w:left w:val="none" w:sz="0" w:space="0" w:color="auto"/>
        <w:bottom w:val="none" w:sz="0" w:space="0" w:color="auto"/>
        <w:right w:val="none" w:sz="0" w:space="0" w:color="auto"/>
      </w:divBdr>
    </w:div>
    <w:div w:id="1990355219">
      <w:bodyDiv w:val="1"/>
      <w:marLeft w:val="0"/>
      <w:marRight w:val="0"/>
      <w:marTop w:val="0"/>
      <w:marBottom w:val="0"/>
      <w:divBdr>
        <w:top w:val="none" w:sz="0" w:space="0" w:color="auto"/>
        <w:left w:val="none" w:sz="0" w:space="0" w:color="auto"/>
        <w:bottom w:val="none" w:sz="0" w:space="0" w:color="auto"/>
        <w:right w:val="none" w:sz="0" w:space="0" w:color="auto"/>
      </w:divBdr>
    </w:div>
    <w:div w:id="20108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sween@uq.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opland@uq.edu.au" TargetMode="External"/><Relationship Id="rId12" Type="http://schemas.openxmlformats.org/officeDocument/2006/relationships/hyperlink" Target="http://www.uq.edu.au/uqadvantage/wr-info-for-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oxbury@uq.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copland@uq.edu.au" TargetMode="External"/><Relationship Id="rId4" Type="http://schemas.openxmlformats.org/officeDocument/2006/relationships/webSettings" Target="webSettings.xml"/><Relationship Id="rId9" Type="http://schemas.openxmlformats.org/officeDocument/2006/relationships/hyperlink" Target="http://www.uq.edu.au/uqadvantage/wr-info-for-applic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Mohini Mutya</dc:creator>
  <cp:keywords/>
  <dc:description/>
  <cp:lastModifiedBy>Bridget Moore</cp:lastModifiedBy>
  <cp:revision>2</cp:revision>
  <dcterms:created xsi:type="dcterms:W3CDTF">2018-07-01T23:46:00Z</dcterms:created>
  <dcterms:modified xsi:type="dcterms:W3CDTF">2018-07-01T23:46:00Z</dcterms:modified>
</cp:coreProperties>
</file>