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p w14:paraId="17D331ED" w14:textId="77777777" w:rsidR="00D61347" w:rsidRDefault="00D61347" w:rsidP="00A54AF7">
      <w:pPr>
        <w:rPr>
          <w:color w:val="000000"/>
        </w:rPr>
      </w:pPr>
    </w:p>
    <w:tbl>
      <w:tblPr>
        <w:tblStyle w:val="TableGrid"/>
        <w:tblW w:w="0" w:type="auto"/>
        <w:tblInd w:w="108" w:type="dxa"/>
        <w:tblLook w:val="04A0" w:firstRow="1" w:lastRow="0" w:firstColumn="1" w:lastColumn="0" w:noHBand="0" w:noVBand="1"/>
      </w:tblPr>
      <w:tblGrid>
        <w:gridCol w:w="1877"/>
        <w:gridCol w:w="7031"/>
      </w:tblGrid>
      <w:tr w:rsidR="00D61347" w:rsidRPr="00454FF1" w14:paraId="144F970C" w14:textId="77777777" w:rsidTr="00C02A73">
        <w:trPr>
          <w:trHeight w:val="666"/>
        </w:trPr>
        <w:tc>
          <w:tcPr>
            <w:tcW w:w="1985"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7149" w:type="dxa"/>
          </w:tcPr>
          <w:p w14:paraId="2ADA5084" w14:textId="4DC48304" w:rsidR="00D61347" w:rsidRPr="00454FF1" w:rsidRDefault="002C3615">
            <w:pPr>
              <w:rPr>
                <w:rFonts w:cstheme="minorHAnsi"/>
                <w:b/>
              </w:rPr>
            </w:pPr>
            <w:r w:rsidRPr="002C3615">
              <w:rPr>
                <w:rStyle w:val="Strong"/>
                <w:rFonts w:cstheme="minorHAnsi"/>
                <w:b w:val="0"/>
                <w:bCs w:val="0"/>
                <w:color w:val="000000"/>
                <w:bdr w:val="none" w:sz="0" w:space="0" w:color="auto" w:frame="1"/>
              </w:rPr>
              <w:t>Shaping the Future of Home Modification Practice: Developing an International Competency Framework for Occupational Therapists</w:t>
            </w:r>
          </w:p>
        </w:tc>
      </w:tr>
      <w:tr w:rsidR="00FA2569" w:rsidRPr="00454FF1" w14:paraId="498DFC9A" w14:textId="77777777" w:rsidTr="00FA2569">
        <w:tc>
          <w:tcPr>
            <w:tcW w:w="1985"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7149" w:type="dxa"/>
          </w:tcPr>
          <w:p w14:paraId="615FFC36" w14:textId="33F6EFC1" w:rsidR="00587DB0" w:rsidRPr="00587DB0" w:rsidRDefault="002C3615" w:rsidP="002C3615">
            <w:pPr>
              <w:rPr>
                <w:rFonts w:cstheme="minorHAnsi"/>
              </w:rPr>
            </w:pPr>
            <w:r w:rsidRPr="00587DB0">
              <w:rPr>
                <w:rFonts w:cstheme="minorHAnsi"/>
                <w:b/>
                <w:bCs/>
              </w:rPr>
              <w:t>Number of students:</w:t>
            </w:r>
            <w:r w:rsidRPr="002C3615">
              <w:rPr>
                <w:rFonts w:cstheme="minorHAnsi"/>
              </w:rPr>
              <w:t xml:space="preserve"> </w:t>
            </w:r>
            <w:r w:rsidR="00AC309A">
              <w:rPr>
                <w:rFonts w:cstheme="minorHAnsi"/>
              </w:rPr>
              <w:t>T</w:t>
            </w:r>
            <w:r w:rsidR="00AC309A" w:rsidRPr="002C3615">
              <w:rPr>
                <w:rFonts w:cstheme="minorHAnsi"/>
              </w:rPr>
              <w:t>wo</w:t>
            </w:r>
            <w:r w:rsidRPr="002C3615">
              <w:rPr>
                <w:rFonts w:cstheme="minorHAnsi"/>
              </w:rPr>
              <w:t xml:space="preserve"> s</w:t>
            </w:r>
            <w:r w:rsidR="00AC309A">
              <w:rPr>
                <w:rFonts w:cstheme="minorHAnsi"/>
              </w:rPr>
              <w:t>cholars</w:t>
            </w:r>
            <w:r w:rsidRPr="002C3615">
              <w:rPr>
                <w:rFonts w:cstheme="minorHAnsi"/>
              </w:rPr>
              <w:t>, ideally from disciplines within SHRS, OT students preferred</w:t>
            </w:r>
            <w:r w:rsidR="00587DB0">
              <w:rPr>
                <w:rFonts w:cstheme="minorHAnsi"/>
              </w:rPr>
              <w:t xml:space="preserve"> given area of practice.</w:t>
            </w:r>
          </w:p>
          <w:p w14:paraId="3BC15A96" w14:textId="77777777" w:rsidR="002C3615" w:rsidRPr="002C3615" w:rsidRDefault="002C3615" w:rsidP="002C3615">
            <w:pPr>
              <w:rPr>
                <w:rFonts w:cstheme="minorHAnsi"/>
              </w:rPr>
            </w:pPr>
            <w:r w:rsidRPr="00587DB0">
              <w:rPr>
                <w:rFonts w:cstheme="minorHAnsi"/>
                <w:b/>
                <w:bCs/>
              </w:rPr>
              <w:t xml:space="preserve">Duration of the project: </w:t>
            </w:r>
            <w:r w:rsidRPr="002C3615">
              <w:rPr>
                <w:rFonts w:cstheme="minorHAnsi"/>
              </w:rPr>
              <w:t>4 weeks (full duration of winter program)</w:t>
            </w:r>
          </w:p>
          <w:p w14:paraId="03BD0DD4" w14:textId="77777777" w:rsidR="002C3615" w:rsidRPr="002C3615" w:rsidRDefault="002C3615" w:rsidP="002C3615">
            <w:pPr>
              <w:rPr>
                <w:rFonts w:cstheme="minorHAnsi"/>
              </w:rPr>
            </w:pPr>
            <w:r w:rsidRPr="00587DB0">
              <w:rPr>
                <w:rFonts w:cstheme="minorHAnsi"/>
                <w:b/>
                <w:bCs/>
              </w:rPr>
              <w:t>Hours of Engagement:</w:t>
            </w:r>
            <w:r w:rsidRPr="002C3615">
              <w:rPr>
                <w:rFonts w:cstheme="minorHAnsi"/>
              </w:rPr>
              <w:t xml:space="preserve"> ~ 30 hours per week</w:t>
            </w:r>
          </w:p>
          <w:p w14:paraId="54E0A7B0" w14:textId="30F5A5E8" w:rsidR="00911DF1" w:rsidRPr="00997732" w:rsidRDefault="002C3615" w:rsidP="00511802">
            <w:pPr>
              <w:rPr>
                <w:rFonts w:cstheme="minorHAnsi"/>
              </w:rPr>
            </w:pPr>
            <w:r w:rsidRPr="00587DB0">
              <w:rPr>
                <w:rFonts w:cstheme="minorHAnsi"/>
                <w:b/>
                <w:bCs/>
              </w:rPr>
              <w:t xml:space="preserve">Engagement/Delivery Mode: </w:t>
            </w:r>
            <w:r w:rsidR="00587DB0">
              <w:rPr>
                <w:rFonts w:cstheme="minorHAnsi"/>
              </w:rPr>
              <w:t>Both hybrid and online arrangements will be possible with this project.</w:t>
            </w:r>
          </w:p>
        </w:tc>
      </w:tr>
      <w:tr w:rsidR="00FA2569" w:rsidRPr="00454FF1" w14:paraId="77B9C0CB" w14:textId="77777777" w:rsidTr="00FA2569">
        <w:tc>
          <w:tcPr>
            <w:tcW w:w="1985"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7149" w:type="dxa"/>
          </w:tcPr>
          <w:p w14:paraId="179AC26E" w14:textId="6D16DE80" w:rsidR="00997732" w:rsidRPr="00997732" w:rsidRDefault="00997732" w:rsidP="00997732">
            <w:pPr>
              <w:rPr>
                <w:rFonts w:cstheme="minorHAnsi"/>
              </w:rPr>
            </w:pPr>
            <w:r w:rsidRPr="00997732">
              <w:rPr>
                <w:rFonts w:cstheme="minorHAnsi"/>
              </w:rPr>
              <w:t>Home modifications represent a rapidly expanding area of practice internationally, yet there is currently no comprehensive competency framework to guide education, workforce development, and capability progression in this field. Existing documents</w:t>
            </w:r>
            <w:r>
              <w:rPr>
                <w:rFonts w:cstheme="minorHAnsi"/>
              </w:rPr>
              <w:t xml:space="preserve"> - </w:t>
            </w:r>
            <w:r w:rsidRPr="00997732">
              <w:rPr>
                <w:rFonts w:cstheme="minorHAnsi"/>
              </w:rPr>
              <w:t>such as the American Occupational Therapy Association’s Home Modification Competencies for Occupational Therapy Assistants (AOTA, 2020), Enable New Zealand’s Competency Framework</w:t>
            </w:r>
            <w:r w:rsidR="00190DE8">
              <w:rPr>
                <w:rFonts w:cstheme="minorHAnsi"/>
              </w:rPr>
              <w:t xml:space="preserve"> Complex housing</w:t>
            </w:r>
            <w:r w:rsidRPr="00997732">
              <w:rPr>
                <w:rFonts w:cstheme="minorHAnsi"/>
              </w:rPr>
              <w:t xml:space="preserve"> (Enable New Zealand, 201</w:t>
            </w:r>
            <w:r w:rsidR="00190DE8">
              <w:rPr>
                <w:rFonts w:cstheme="minorHAnsi"/>
              </w:rPr>
              <w:t>4</w:t>
            </w:r>
            <w:r w:rsidRPr="00997732">
              <w:rPr>
                <w:rFonts w:cstheme="minorHAnsi"/>
              </w:rPr>
              <w:t>), and the</w:t>
            </w:r>
            <w:r w:rsidR="00190DE8">
              <w:rPr>
                <w:rFonts w:cstheme="minorHAnsi"/>
              </w:rPr>
              <w:t xml:space="preserve"> UK Competence Framework for Trusted Assessors (Winchcombe &amp; Ballinger, 2005)</w:t>
            </w:r>
            <w:r>
              <w:rPr>
                <w:rFonts w:cstheme="minorHAnsi"/>
              </w:rPr>
              <w:t xml:space="preserve"> - </w:t>
            </w:r>
            <w:r w:rsidRPr="00997732">
              <w:rPr>
                <w:rFonts w:cstheme="minorHAnsi"/>
              </w:rPr>
              <w:t>vary widely in purpose, depth, and target audience. Foundational texts such as An Occupational Therapist’s Guide to Home Modification Practice (Ainsworth &amp; de Jonge, 201</w:t>
            </w:r>
            <w:r>
              <w:rPr>
                <w:rFonts w:cstheme="minorHAnsi"/>
              </w:rPr>
              <w:t>9</w:t>
            </w:r>
            <w:r w:rsidRPr="00997732">
              <w:rPr>
                <w:rFonts w:cstheme="minorHAnsi"/>
              </w:rPr>
              <w:t>) provide comprehensive guidance on home modification reasoning and processes, but like other professional resources, they do not constitute a competency framework nor define graduated capability expectations across experience levels.</w:t>
            </w:r>
          </w:p>
          <w:p w14:paraId="2721A70A" w14:textId="77777777" w:rsidR="00997732" w:rsidRPr="00997732" w:rsidRDefault="00997732" w:rsidP="00997732">
            <w:pPr>
              <w:rPr>
                <w:rFonts w:cstheme="minorHAnsi"/>
              </w:rPr>
            </w:pPr>
          </w:p>
          <w:p w14:paraId="5112037F" w14:textId="1EC3B627" w:rsidR="00997732" w:rsidRPr="00997732" w:rsidRDefault="00997732" w:rsidP="00997732">
            <w:pPr>
              <w:rPr>
                <w:rFonts w:cstheme="minorHAnsi"/>
              </w:rPr>
            </w:pPr>
            <w:r w:rsidRPr="00997732">
              <w:rPr>
                <w:rFonts w:cstheme="minorHAnsi"/>
              </w:rPr>
              <w:t xml:space="preserve">In Australia, the Occupational Therapy Australia Capability Framework provides general practice guidance but explicitly notes that it is not a competency document (Occupational Therapy Australia, 2021). As a result, significant gaps remain in how universities, professional bodies, and employers prepare practitioners at </w:t>
            </w:r>
            <w:r w:rsidR="00AC309A" w:rsidRPr="00997732">
              <w:rPr>
                <w:rFonts w:cstheme="minorHAnsi"/>
              </w:rPr>
              <w:t>various stages</w:t>
            </w:r>
            <w:r w:rsidRPr="00997732">
              <w:rPr>
                <w:rFonts w:cstheme="minorHAnsi"/>
              </w:rPr>
              <w:t xml:space="preserve"> of development</w:t>
            </w:r>
            <w:r>
              <w:rPr>
                <w:rFonts w:cstheme="minorHAnsi"/>
              </w:rPr>
              <w:t xml:space="preserve"> - </w:t>
            </w:r>
            <w:r w:rsidRPr="00997732">
              <w:rPr>
                <w:rFonts w:cstheme="minorHAnsi"/>
              </w:rPr>
              <w:t>from novice to expert. Clinicians have begun identifying practice-based competencies informally, but these have not been systematically verified or compared against international standards. There is a clear need to consolidate and synthesise global competency expectations to inform curriculum design, professional development pathways, and workforce planning.</w:t>
            </w:r>
          </w:p>
          <w:p w14:paraId="3B1D0950" w14:textId="77777777" w:rsidR="00997732" w:rsidRPr="00997732" w:rsidRDefault="00997732" w:rsidP="00997732">
            <w:pPr>
              <w:rPr>
                <w:rFonts w:cstheme="minorHAnsi"/>
              </w:rPr>
            </w:pPr>
          </w:p>
          <w:p w14:paraId="63FB044C" w14:textId="77777777" w:rsidR="00997732" w:rsidRPr="00997732" w:rsidRDefault="00997732" w:rsidP="00997732">
            <w:pPr>
              <w:rPr>
                <w:rFonts w:cstheme="minorHAnsi"/>
                <w:b/>
                <w:bCs/>
              </w:rPr>
            </w:pPr>
            <w:r w:rsidRPr="00997732">
              <w:rPr>
                <w:rFonts w:cstheme="minorHAnsi"/>
                <w:b/>
                <w:bCs/>
              </w:rPr>
              <w:t>Aim</w:t>
            </w:r>
          </w:p>
          <w:p w14:paraId="2FE0C754" w14:textId="77777777" w:rsidR="00997732" w:rsidRPr="00997732" w:rsidRDefault="00997732" w:rsidP="00997732">
            <w:pPr>
              <w:rPr>
                <w:rFonts w:cstheme="minorHAnsi"/>
              </w:rPr>
            </w:pPr>
            <w:r w:rsidRPr="00997732">
              <w:rPr>
                <w:rFonts w:cstheme="minorHAnsi"/>
              </w:rPr>
              <w:t>To develop a comprehensive and internationally informed set of home modification competencies that accurately reflect the knowledge, skills, and capability requirements across the continuum of practice, from novice to expert.</w:t>
            </w:r>
          </w:p>
          <w:p w14:paraId="0C36F0A4" w14:textId="77777777" w:rsidR="00997732" w:rsidRPr="00997732" w:rsidRDefault="00997732" w:rsidP="00997732">
            <w:pPr>
              <w:rPr>
                <w:rFonts w:cstheme="minorHAnsi"/>
              </w:rPr>
            </w:pPr>
          </w:p>
          <w:p w14:paraId="3C5F8F3E" w14:textId="2AB02E8A" w:rsidR="00997732" w:rsidRPr="00997732" w:rsidRDefault="00997732" w:rsidP="00997732">
            <w:pPr>
              <w:rPr>
                <w:rFonts w:cstheme="minorHAnsi"/>
                <w:b/>
                <w:bCs/>
              </w:rPr>
            </w:pPr>
            <w:r w:rsidRPr="00997732">
              <w:rPr>
                <w:rFonts w:cstheme="minorHAnsi"/>
                <w:b/>
                <w:bCs/>
              </w:rPr>
              <w:t>Methodology</w:t>
            </w:r>
          </w:p>
          <w:p w14:paraId="3907060E" w14:textId="77777777" w:rsidR="00997732" w:rsidRPr="00997732" w:rsidRDefault="00997732" w:rsidP="00997732">
            <w:pPr>
              <w:rPr>
                <w:rFonts w:cstheme="minorHAnsi"/>
              </w:rPr>
            </w:pPr>
            <w:r w:rsidRPr="00997732">
              <w:rPr>
                <w:rFonts w:cstheme="minorHAnsi"/>
              </w:rPr>
              <w:t xml:space="preserve">A structured environmental scan and scoping review will be conducted to identify and synthesise existing home modification competency frameworks and related capability documents from international academic and grey literature. Following recognised scoping review methodology, the process will involve systematic searching, screening, data extraction, and thematic </w:t>
            </w:r>
            <w:r w:rsidRPr="00997732">
              <w:rPr>
                <w:rFonts w:cstheme="minorHAnsi"/>
              </w:rPr>
              <w:lastRenderedPageBreak/>
              <w:t>synthesis of competency statements. Extracted competencies will be consolidated and mapped across levels of practice to generate an evidence-informed preliminary competency set to underpin future validation through a Delphi study.</w:t>
            </w:r>
          </w:p>
          <w:p w14:paraId="5D801A54" w14:textId="77777777" w:rsidR="00997732" w:rsidRPr="00997732" w:rsidRDefault="00997732" w:rsidP="00997732">
            <w:pPr>
              <w:rPr>
                <w:rFonts w:cstheme="minorHAnsi"/>
              </w:rPr>
            </w:pPr>
          </w:p>
          <w:p w14:paraId="215BF994" w14:textId="43F8CF19" w:rsidR="00997732" w:rsidRPr="00BF3EC9" w:rsidRDefault="00997732" w:rsidP="00997732">
            <w:pPr>
              <w:rPr>
                <w:rFonts w:cstheme="minorHAnsi"/>
                <w:b/>
                <w:bCs/>
              </w:rPr>
            </w:pPr>
            <w:r w:rsidRPr="00997732">
              <w:rPr>
                <w:rFonts w:cstheme="minorHAnsi"/>
                <w:b/>
                <w:bCs/>
              </w:rPr>
              <w:t>Reference List (APA 7th)</w:t>
            </w:r>
          </w:p>
          <w:p w14:paraId="080482B8" w14:textId="605BAD3F" w:rsidR="00997732" w:rsidRPr="00997732" w:rsidRDefault="00BF3EC9" w:rsidP="00997732">
            <w:pPr>
              <w:rPr>
                <w:rFonts w:cstheme="minorHAnsi"/>
              </w:rPr>
            </w:pPr>
            <w:r>
              <w:rPr>
                <w:rFonts w:cstheme="minorHAnsi"/>
              </w:rPr>
              <w:t xml:space="preserve">        </w:t>
            </w:r>
            <w:r w:rsidR="00997732" w:rsidRPr="00997732">
              <w:rPr>
                <w:rFonts w:cstheme="minorHAnsi"/>
              </w:rPr>
              <w:t>Ainsworth, E., &amp; de Jonge, D. (201</w:t>
            </w:r>
            <w:r w:rsidR="00997732">
              <w:rPr>
                <w:rFonts w:cstheme="minorHAnsi"/>
              </w:rPr>
              <w:t>9</w:t>
            </w:r>
            <w:r w:rsidR="00997732" w:rsidRPr="00997732">
              <w:rPr>
                <w:rFonts w:cstheme="minorHAnsi"/>
              </w:rPr>
              <w:t>). An occupational therapist’s guide to home modification practice (2nd ed.). SLACK Incorporated.</w:t>
            </w:r>
          </w:p>
          <w:p w14:paraId="30177CA6" w14:textId="44C783C2" w:rsidR="00997732" w:rsidRPr="00997732" w:rsidRDefault="00BF3EC9" w:rsidP="00997732">
            <w:pPr>
              <w:rPr>
                <w:rFonts w:cstheme="minorHAnsi"/>
              </w:rPr>
            </w:pPr>
            <w:r>
              <w:rPr>
                <w:rFonts w:cstheme="minorHAnsi"/>
              </w:rPr>
              <w:t xml:space="preserve">        </w:t>
            </w:r>
            <w:r w:rsidR="00997732" w:rsidRPr="00997732">
              <w:rPr>
                <w:rFonts w:cstheme="minorHAnsi"/>
              </w:rPr>
              <w:t>American Occupational Therapy Association. (2020). Home modification competencies for occupational therapy assistants. AOTA.</w:t>
            </w:r>
          </w:p>
          <w:p w14:paraId="39AD617E" w14:textId="66BB70FE" w:rsidR="00997732" w:rsidRPr="00997732" w:rsidRDefault="00997732" w:rsidP="00997732">
            <w:pPr>
              <w:rPr>
                <w:rFonts w:cstheme="minorHAnsi"/>
              </w:rPr>
            </w:pPr>
            <w:hyperlink r:id="rId7" w:history="1">
              <w:r w:rsidRPr="00AD6FE6">
                <w:rPr>
                  <w:rStyle w:val="Hyperlink"/>
                  <w:rFonts w:cstheme="minorHAnsi"/>
                </w:rPr>
                <w:t>https://library.aota.org/OT_Practice_Guidelines_Home_Modification/</w:t>
              </w:r>
            </w:hyperlink>
            <w:r>
              <w:rPr>
                <w:rFonts w:cstheme="minorHAnsi"/>
              </w:rPr>
              <w:t xml:space="preserve"> </w:t>
            </w:r>
          </w:p>
          <w:p w14:paraId="53832A81" w14:textId="6A876796" w:rsidR="00997732" w:rsidRPr="00997732" w:rsidRDefault="00BF3EC9" w:rsidP="00997732">
            <w:pPr>
              <w:rPr>
                <w:rFonts w:cstheme="minorHAnsi"/>
              </w:rPr>
            </w:pPr>
            <w:r>
              <w:rPr>
                <w:rFonts w:cstheme="minorHAnsi"/>
              </w:rPr>
              <w:t xml:space="preserve">        </w:t>
            </w:r>
            <w:r w:rsidR="00997732" w:rsidRPr="00997732">
              <w:rPr>
                <w:rFonts w:cstheme="minorHAnsi"/>
              </w:rPr>
              <w:t>Enable New Zealand. (201</w:t>
            </w:r>
            <w:r w:rsidR="00190DE8">
              <w:rPr>
                <w:rFonts w:cstheme="minorHAnsi"/>
              </w:rPr>
              <w:t>4</w:t>
            </w:r>
            <w:r w:rsidR="00997732" w:rsidRPr="00997732">
              <w:rPr>
                <w:rFonts w:cstheme="minorHAnsi"/>
              </w:rPr>
              <w:t xml:space="preserve">). </w:t>
            </w:r>
            <w:hyperlink r:id="rId8" w:history="1">
              <w:r w:rsidR="00997732" w:rsidRPr="00997732">
                <w:rPr>
                  <w:rStyle w:val="Hyperlink"/>
                  <w:rFonts w:cstheme="minorHAnsi"/>
                </w:rPr>
                <w:t>Competency Framework Complex housing</w:t>
              </w:r>
            </w:hyperlink>
            <w:r w:rsidR="00997732" w:rsidRPr="00997732">
              <w:rPr>
                <w:rFonts w:cstheme="minorHAnsi"/>
              </w:rPr>
              <w:t xml:space="preserve"> Enable NZ.</w:t>
            </w:r>
            <w:r w:rsidR="00997732" w:rsidRPr="00997732">
              <w:t xml:space="preserve"> </w:t>
            </w:r>
            <w:hyperlink r:id="rId9" w:history="1">
              <w:r w:rsidR="00997732" w:rsidRPr="00AD6FE6">
                <w:rPr>
                  <w:rStyle w:val="Hyperlink"/>
                </w:rPr>
                <w:t>https://www.enable.co.nz/tools/forms/competency-framework-complex-housing</w:t>
              </w:r>
            </w:hyperlink>
            <w:r w:rsidR="00997732">
              <w:t xml:space="preserve"> </w:t>
            </w:r>
          </w:p>
          <w:p w14:paraId="6A0268C2" w14:textId="585FB3F3" w:rsidR="00997732" w:rsidRPr="00997732" w:rsidRDefault="00BF3EC9" w:rsidP="00997732">
            <w:pPr>
              <w:rPr>
                <w:rFonts w:cstheme="minorHAnsi"/>
              </w:rPr>
            </w:pPr>
            <w:r>
              <w:rPr>
                <w:rFonts w:cstheme="minorHAnsi"/>
              </w:rPr>
              <w:t xml:space="preserve">        </w:t>
            </w:r>
            <w:r w:rsidR="00997732" w:rsidRPr="00997732">
              <w:rPr>
                <w:rFonts w:cstheme="minorHAnsi"/>
              </w:rPr>
              <w:t>Occupational Therapy Australia. (2021). Occupational Therapy Australia capability framework: Scope of practice for occupational therapists. Occupational Therapy Australia.</w:t>
            </w:r>
          </w:p>
          <w:p w14:paraId="501815CA" w14:textId="07BCCBCA" w:rsidR="00997732" w:rsidRDefault="00997732" w:rsidP="00997732">
            <w:pPr>
              <w:rPr>
                <w:rFonts w:cstheme="minorHAnsi"/>
              </w:rPr>
            </w:pPr>
            <w:hyperlink r:id="rId10" w:history="1">
              <w:r w:rsidRPr="00AD6FE6">
                <w:rPr>
                  <w:rStyle w:val="Hyperlink"/>
                  <w:rFonts w:cstheme="minorHAnsi"/>
                </w:rPr>
                <w:t>https://otaus.com.au/resources/capability-framework-for-occupational-therapists-supporting-people-with-environmental-and-home-modifications</w:t>
              </w:r>
            </w:hyperlink>
            <w:r>
              <w:rPr>
                <w:rFonts w:cstheme="minorHAnsi"/>
              </w:rPr>
              <w:t xml:space="preserve"> </w:t>
            </w:r>
          </w:p>
          <w:p w14:paraId="1F04017C" w14:textId="1F7C47B9" w:rsidR="00FA2569" w:rsidRPr="00190DE8" w:rsidRDefault="00BF3EC9" w:rsidP="00997732">
            <w:pPr>
              <w:rPr>
                <w:rFonts w:cstheme="minorHAnsi"/>
              </w:rPr>
            </w:pPr>
            <w:r>
              <w:rPr>
                <w:rFonts w:cstheme="minorHAnsi"/>
              </w:rPr>
              <w:t xml:space="preserve">       </w:t>
            </w:r>
            <w:r w:rsidR="00190DE8">
              <w:rPr>
                <w:rFonts w:cstheme="minorHAnsi"/>
              </w:rPr>
              <w:t>Winchcombe, M &amp; Ballinger, C</w:t>
            </w:r>
            <w:r w:rsidR="00997732" w:rsidRPr="00997732">
              <w:rPr>
                <w:rFonts w:cstheme="minorHAnsi"/>
              </w:rPr>
              <w:t>. (20</w:t>
            </w:r>
            <w:r w:rsidR="00190DE8">
              <w:rPr>
                <w:rFonts w:cstheme="minorHAnsi"/>
              </w:rPr>
              <w:t>05</w:t>
            </w:r>
            <w:r w:rsidR="00997732" w:rsidRPr="00997732">
              <w:rPr>
                <w:rFonts w:cstheme="minorHAnsi"/>
              </w:rPr>
              <w:t xml:space="preserve">). </w:t>
            </w:r>
            <w:r w:rsidR="00190DE8" w:rsidRPr="00190DE8">
              <w:rPr>
                <w:rFonts w:cstheme="minorHAnsi"/>
              </w:rPr>
              <w:t>A Competence Framework for Trusted Assessors</w:t>
            </w:r>
            <w:r w:rsidR="00190DE8">
              <w:rPr>
                <w:rFonts w:cstheme="minorHAnsi"/>
              </w:rPr>
              <w:t>.</w:t>
            </w:r>
            <w:r w:rsidR="00997732" w:rsidRPr="00997732">
              <w:rPr>
                <w:rFonts w:cstheme="minorHAnsi"/>
              </w:rPr>
              <w:t xml:space="preserve"> </w:t>
            </w:r>
            <w:r w:rsidR="00190DE8">
              <w:rPr>
                <w:rFonts w:cstheme="minorHAnsi"/>
              </w:rPr>
              <w:t xml:space="preserve">Assist UK. </w:t>
            </w:r>
            <w:hyperlink r:id="rId11" w:history="1">
              <w:r w:rsidR="00190DE8" w:rsidRPr="00AD6FE6">
                <w:rPr>
                  <w:rStyle w:val="Hyperlink"/>
                  <w:rFonts w:cstheme="minorHAnsi"/>
                </w:rPr>
                <w:t>https://trustedassessing.com/resources-a-competency-framework-for-trusted-assessors/</w:t>
              </w:r>
            </w:hyperlink>
            <w:r w:rsidR="00190DE8">
              <w:rPr>
                <w:rFonts w:cstheme="minorHAnsi"/>
              </w:rPr>
              <w:t xml:space="preserve"> </w:t>
            </w:r>
          </w:p>
        </w:tc>
      </w:tr>
      <w:tr w:rsidR="00FA2569" w:rsidRPr="00454FF1" w14:paraId="08D1F94C" w14:textId="77777777" w:rsidTr="00FA2569">
        <w:trPr>
          <w:trHeight w:val="1028"/>
        </w:trPr>
        <w:tc>
          <w:tcPr>
            <w:tcW w:w="1985"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lastRenderedPageBreak/>
              <w:t xml:space="preserve">Expected </w:t>
            </w:r>
            <w:r w:rsidR="007773C9">
              <w:rPr>
                <w:rFonts w:cstheme="minorHAnsi"/>
                <w:b/>
              </w:rPr>
              <w:t xml:space="preserve">learning </w:t>
            </w:r>
            <w:r>
              <w:rPr>
                <w:rFonts w:cstheme="minorHAnsi"/>
                <w:b/>
              </w:rPr>
              <w:t>outcomes and deliverables:</w:t>
            </w:r>
          </w:p>
        </w:tc>
        <w:tc>
          <w:tcPr>
            <w:tcW w:w="7149" w:type="dxa"/>
          </w:tcPr>
          <w:p w14:paraId="1B9EA9E0" w14:textId="041438FE" w:rsidR="00190DE8" w:rsidRPr="00BF3EC9" w:rsidRDefault="00190DE8" w:rsidP="00190DE8">
            <w:pPr>
              <w:rPr>
                <w:rFonts w:cstheme="minorHAnsi"/>
                <w:b/>
                <w:bCs/>
                <w:color w:val="000000"/>
              </w:rPr>
            </w:pPr>
            <w:r w:rsidRPr="00BF3EC9">
              <w:rPr>
                <w:rFonts w:cstheme="minorHAnsi"/>
                <w:b/>
                <w:bCs/>
                <w:color w:val="000000"/>
              </w:rPr>
              <w:t>Expected Learning Outcomes</w:t>
            </w:r>
          </w:p>
          <w:p w14:paraId="4679932E" w14:textId="16DB1A8E" w:rsidR="00190DE8" w:rsidRPr="00190DE8" w:rsidRDefault="00190DE8" w:rsidP="00190DE8">
            <w:pPr>
              <w:rPr>
                <w:rFonts w:cstheme="minorHAnsi"/>
                <w:color w:val="000000"/>
              </w:rPr>
            </w:pPr>
            <w:r w:rsidRPr="00190DE8">
              <w:rPr>
                <w:rFonts w:cstheme="minorHAnsi"/>
                <w:color w:val="000000"/>
              </w:rPr>
              <w:t>By completing this project, students will:</w:t>
            </w:r>
          </w:p>
          <w:p w14:paraId="41102D91" w14:textId="3F4F4E9D" w:rsidR="00190DE8" w:rsidRPr="00190DE8" w:rsidRDefault="00190DE8" w:rsidP="00190DE8">
            <w:pPr>
              <w:rPr>
                <w:rFonts w:cstheme="minorHAnsi"/>
                <w:color w:val="000000"/>
              </w:rPr>
            </w:pPr>
            <w:r w:rsidRPr="00190DE8">
              <w:rPr>
                <w:rFonts w:cstheme="minorHAnsi"/>
                <w:color w:val="000000"/>
              </w:rPr>
              <w:t>1. Conduct a complete scoping review, including search strategy development, database searching, screening, charting, critical comparison, and synthesis according to recognised methodological frameworks</w:t>
            </w:r>
            <w:r w:rsidR="00BF3EC9">
              <w:rPr>
                <w:rFonts w:cstheme="minorHAnsi"/>
                <w:color w:val="000000"/>
              </w:rPr>
              <w:t>.</w:t>
            </w:r>
          </w:p>
          <w:p w14:paraId="24B0F60F" w14:textId="559EDE0E" w:rsidR="00190DE8" w:rsidRPr="00190DE8" w:rsidRDefault="00190DE8" w:rsidP="00190DE8">
            <w:pPr>
              <w:rPr>
                <w:rFonts w:cstheme="minorHAnsi"/>
                <w:color w:val="000000"/>
              </w:rPr>
            </w:pPr>
            <w:r w:rsidRPr="00190DE8">
              <w:rPr>
                <w:rFonts w:cstheme="minorHAnsi"/>
                <w:color w:val="000000"/>
              </w:rPr>
              <w:t>2. Develop an understanding of international home-modification competency standards, their scope, purpose, and applicability across the OT career span.</w:t>
            </w:r>
          </w:p>
          <w:p w14:paraId="33DC63E2" w14:textId="04CDC45B" w:rsidR="00190DE8" w:rsidRPr="00190DE8" w:rsidRDefault="00190DE8" w:rsidP="00190DE8">
            <w:pPr>
              <w:rPr>
                <w:rFonts w:cstheme="minorHAnsi"/>
                <w:color w:val="000000"/>
              </w:rPr>
            </w:pPr>
            <w:r w:rsidRPr="00190DE8">
              <w:rPr>
                <w:rFonts w:cstheme="minorHAnsi"/>
                <w:color w:val="000000"/>
              </w:rPr>
              <w:t>3. Strengthen skills in data extraction, thematic categorisation, and competency mapping.</w:t>
            </w:r>
          </w:p>
          <w:p w14:paraId="28F0A50D" w14:textId="504BA9D1" w:rsidR="00190DE8" w:rsidRPr="00190DE8" w:rsidRDefault="00190DE8" w:rsidP="00190DE8">
            <w:pPr>
              <w:rPr>
                <w:rFonts w:cstheme="minorHAnsi"/>
                <w:color w:val="000000"/>
              </w:rPr>
            </w:pPr>
            <w:r w:rsidRPr="00190DE8">
              <w:rPr>
                <w:rFonts w:cstheme="minorHAnsi"/>
                <w:color w:val="000000"/>
              </w:rPr>
              <w:t>4. Contribute to the foundational materials for a future Delphi study, gaining insight into how professional consensus is generated.</w:t>
            </w:r>
          </w:p>
          <w:p w14:paraId="70B55927" w14:textId="0476ED47" w:rsidR="00BF3EC9" w:rsidRDefault="00190DE8" w:rsidP="00190DE8">
            <w:pPr>
              <w:rPr>
                <w:rFonts w:cstheme="minorHAnsi"/>
                <w:color w:val="000000"/>
              </w:rPr>
            </w:pPr>
            <w:r w:rsidRPr="00190DE8">
              <w:rPr>
                <w:rFonts w:cstheme="minorHAnsi"/>
                <w:color w:val="000000"/>
              </w:rPr>
              <w:t>5. Improve academic writing and knowledge translation skills, producing outputs suitable for research teams, educators, and professional stakeholders.</w:t>
            </w:r>
          </w:p>
          <w:p w14:paraId="0B227540" w14:textId="77777777" w:rsidR="00BF3EC9" w:rsidRPr="00BF3EC9" w:rsidRDefault="00BF3EC9" w:rsidP="00190DE8">
            <w:pPr>
              <w:rPr>
                <w:rFonts w:cstheme="minorHAnsi"/>
                <w:color w:val="000000"/>
              </w:rPr>
            </w:pPr>
          </w:p>
          <w:p w14:paraId="31FCB944" w14:textId="63D80143" w:rsidR="00190DE8" w:rsidRPr="00BF3EC9" w:rsidRDefault="00190DE8" w:rsidP="00190DE8">
            <w:pPr>
              <w:rPr>
                <w:rFonts w:cstheme="minorHAnsi"/>
                <w:b/>
                <w:bCs/>
                <w:color w:val="000000"/>
              </w:rPr>
            </w:pPr>
            <w:r w:rsidRPr="00BF3EC9">
              <w:rPr>
                <w:rFonts w:cstheme="minorHAnsi"/>
                <w:b/>
                <w:bCs/>
                <w:color w:val="000000"/>
              </w:rPr>
              <w:t>Expected Student Deliverables</w:t>
            </w:r>
          </w:p>
          <w:p w14:paraId="3532F4E2" w14:textId="10EF681C" w:rsidR="00190DE8" w:rsidRPr="00190DE8" w:rsidRDefault="00190DE8" w:rsidP="00190DE8">
            <w:pPr>
              <w:rPr>
                <w:rFonts w:cstheme="minorHAnsi"/>
                <w:color w:val="000000"/>
              </w:rPr>
            </w:pPr>
            <w:r w:rsidRPr="00190DE8">
              <w:rPr>
                <w:rFonts w:cstheme="minorHAnsi"/>
                <w:color w:val="000000"/>
              </w:rPr>
              <w:t>1. Environmental Scan Summary</w:t>
            </w:r>
          </w:p>
          <w:p w14:paraId="556E2CC7" w14:textId="2FCF0E7B" w:rsidR="00190DE8" w:rsidRPr="00190DE8" w:rsidRDefault="00190DE8" w:rsidP="00190DE8">
            <w:pPr>
              <w:rPr>
                <w:rFonts w:cstheme="minorHAnsi"/>
                <w:color w:val="000000"/>
              </w:rPr>
            </w:pPr>
            <w:r w:rsidRPr="00190DE8">
              <w:rPr>
                <w:rFonts w:cstheme="minorHAnsi"/>
                <w:color w:val="000000"/>
              </w:rPr>
              <w:t>A concise overview of existing international competency documents, organisations, and training frameworks.</w:t>
            </w:r>
          </w:p>
          <w:p w14:paraId="10E8460E" w14:textId="3883DC96" w:rsidR="00190DE8" w:rsidRDefault="00190DE8" w:rsidP="00190DE8">
            <w:pPr>
              <w:rPr>
                <w:rFonts w:cstheme="minorHAnsi"/>
                <w:color w:val="000000"/>
              </w:rPr>
            </w:pPr>
            <w:r w:rsidRPr="00190DE8">
              <w:rPr>
                <w:rFonts w:cstheme="minorHAnsi"/>
                <w:color w:val="000000"/>
              </w:rPr>
              <w:t>2. Scoping Review</w:t>
            </w:r>
          </w:p>
          <w:p w14:paraId="0AF1F6D3" w14:textId="782A29FF" w:rsidR="00190DE8" w:rsidRPr="00190DE8" w:rsidRDefault="00190DE8" w:rsidP="00190DE8">
            <w:pPr>
              <w:rPr>
                <w:rFonts w:cstheme="minorHAnsi"/>
                <w:color w:val="000000"/>
              </w:rPr>
            </w:pPr>
            <w:r>
              <w:rPr>
                <w:rFonts w:cstheme="minorHAnsi"/>
                <w:color w:val="000000"/>
              </w:rPr>
              <w:t>A complete review including search strategy, screening outcomes, data extraction table</w:t>
            </w:r>
            <w:r w:rsidR="00BF3EC9">
              <w:rPr>
                <w:rFonts w:cstheme="minorHAnsi"/>
                <w:color w:val="000000"/>
              </w:rPr>
              <w:t>,</w:t>
            </w:r>
            <w:r>
              <w:rPr>
                <w:rFonts w:cstheme="minorHAnsi"/>
                <w:color w:val="000000"/>
              </w:rPr>
              <w:t xml:space="preserve"> and thematic summary.</w:t>
            </w:r>
          </w:p>
          <w:p w14:paraId="5165E561" w14:textId="5143943B" w:rsidR="00190DE8" w:rsidRPr="00190DE8" w:rsidRDefault="00190DE8" w:rsidP="00190DE8">
            <w:pPr>
              <w:rPr>
                <w:rFonts w:cstheme="minorHAnsi"/>
                <w:color w:val="000000"/>
              </w:rPr>
            </w:pPr>
            <w:r w:rsidRPr="00190DE8">
              <w:rPr>
                <w:rFonts w:cstheme="minorHAnsi"/>
                <w:color w:val="000000"/>
              </w:rPr>
              <w:t>3. Preliminary Competency List</w:t>
            </w:r>
          </w:p>
          <w:p w14:paraId="01176857" w14:textId="496D3AE9" w:rsidR="00190DE8" w:rsidRPr="00190DE8" w:rsidRDefault="00190DE8" w:rsidP="00190DE8">
            <w:pPr>
              <w:rPr>
                <w:rFonts w:cstheme="minorHAnsi"/>
                <w:color w:val="000000"/>
              </w:rPr>
            </w:pPr>
            <w:r w:rsidRPr="00190DE8">
              <w:rPr>
                <w:rFonts w:cstheme="minorHAnsi"/>
                <w:color w:val="000000"/>
              </w:rPr>
              <w:t xml:space="preserve"> A refined, organised competency set synthesised from the scoping review findings, formatted for use in Round 1 of the Delphi Study.</w:t>
            </w:r>
          </w:p>
          <w:p w14:paraId="7A0A88F9" w14:textId="4784EF0D" w:rsidR="00190DE8" w:rsidRPr="00190DE8" w:rsidRDefault="00190DE8" w:rsidP="00190DE8">
            <w:pPr>
              <w:rPr>
                <w:rFonts w:cstheme="minorHAnsi"/>
                <w:color w:val="000000"/>
              </w:rPr>
            </w:pPr>
            <w:r w:rsidRPr="00190DE8">
              <w:rPr>
                <w:rFonts w:cstheme="minorHAnsi"/>
                <w:color w:val="000000"/>
              </w:rPr>
              <w:t>4. Final Summary</w:t>
            </w:r>
          </w:p>
          <w:p w14:paraId="08DC5C6A" w14:textId="35226B30" w:rsidR="00FA2569" w:rsidRPr="00BF3EC9" w:rsidRDefault="00190DE8" w:rsidP="00190DE8">
            <w:pPr>
              <w:rPr>
                <w:rFonts w:cstheme="minorHAnsi"/>
                <w:color w:val="000000"/>
              </w:rPr>
            </w:pPr>
            <w:r w:rsidRPr="00190DE8">
              <w:rPr>
                <w:rFonts w:cstheme="minorHAnsi"/>
                <w:color w:val="000000"/>
              </w:rPr>
              <w:lastRenderedPageBreak/>
              <w:t>A short</w:t>
            </w:r>
            <w:r w:rsidR="00BF3EC9">
              <w:rPr>
                <w:rFonts w:cstheme="minorHAnsi"/>
                <w:color w:val="000000"/>
              </w:rPr>
              <w:t>-</w:t>
            </w:r>
            <w:r w:rsidRPr="00190DE8">
              <w:rPr>
                <w:rFonts w:cstheme="minorHAnsi"/>
                <w:color w:val="000000"/>
              </w:rPr>
              <w:t xml:space="preserve">written </w:t>
            </w:r>
            <w:r w:rsidR="00BF3EC9">
              <w:rPr>
                <w:rFonts w:cstheme="minorHAnsi"/>
                <w:color w:val="000000"/>
              </w:rPr>
              <w:t>report</w:t>
            </w:r>
            <w:r w:rsidRPr="00190DE8">
              <w:rPr>
                <w:rFonts w:cstheme="minorHAnsi"/>
                <w:color w:val="000000"/>
              </w:rPr>
              <w:t xml:space="preserve"> OR a brief presentation/infographic that summarises the key findings and the draft competency list for supervisory and stakeholder review.</w:t>
            </w:r>
          </w:p>
        </w:tc>
      </w:tr>
      <w:tr w:rsidR="00FA2569" w:rsidRPr="00454FF1" w14:paraId="3FC33824" w14:textId="77777777" w:rsidTr="00C463C1">
        <w:trPr>
          <w:trHeight w:val="938"/>
        </w:trPr>
        <w:tc>
          <w:tcPr>
            <w:tcW w:w="1985"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lastRenderedPageBreak/>
              <w:t>Suitable for:</w:t>
            </w:r>
          </w:p>
        </w:tc>
        <w:tc>
          <w:tcPr>
            <w:tcW w:w="7149" w:type="dxa"/>
          </w:tcPr>
          <w:p w14:paraId="3674F40C" w14:textId="5E58C3C7" w:rsidR="00FA2569" w:rsidRPr="00C463C1" w:rsidRDefault="00BF3EC9" w:rsidP="00D61347">
            <w:pPr>
              <w:rPr>
                <w:rFonts w:cstheme="minorHAnsi"/>
                <w:color w:val="000000"/>
              </w:rPr>
            </w:pPr>
            <w:r w:rsidRPr="00BF3EC9">
              <w:rPr>
                <w:rFonts w:cstheme="minorHAnsi"/>
                <w:color w:val="000000"/>
              </w:rPr>
              <w:t>Suitable for later-year SHRS students (3rd–4th year</w:t>
            </w:r>
            <w:r w:rsidR="00C463C1" w:rsidRPr="00C463C1">
              <w:rPr>
                <w:rFonts w:cstheme="minorHAnsi"/>
                <w:color w:val="000000"/>
              </w:rPr>
              <w:t xml:space="preserve"> undergraduate</w:t>
            </w:r>
            <w:r w:rsidRPr="00BF3EC9">
              <w:rPr>
                <w:rFonts w:cstheme="minorHAnsi"/>
                <w:color w:val="000000"/>
              </w:rPr>
              <w:t xml:space="preserve"> or </w:t>
            </w:r>
            <w:r w:rsidR="00C463C1" w:rsidRPr="00C463C1">
              <w:rPr>
                <w:rFonts w:cstheme="minorHAnsi"/>
                <w:color w:val="000000"/>
              </w:rPr>
              <w:t>1</w:t>
            </w:r>
            <w:r w:rsidR="00C463C1" w:rsidRPr="00C463C1">
              <w:rPr>
                <w:rFonts w:cstheme="minorHAnsi"/>
                <w:color w:val="000000"/>
                <w:vertAlign w:val="superscript"/>
              </w:rPr>
              <w:t>st</w:t>
            </w:r>
            <w:r w:rsidR="00C463C1" w:rsidRPr="00C463C1">
              <w:rPr>
                <w:rFonts w:cstheme="minorHAnsi"/>
                <w:color w:val="000000"/>
              </w:rPr>
              <w:t>-2</w:t>
            </w:r>
            <w:r w:rsidR="00C463C1" w:rsidRPr="00C463C1">
              <w:rPr>
                <w:rFonts w:cstheme="minorHAnsi"/>
                <w:color w:val="000000"/>
                <w:vertAlign w:val="superscript"/>
              </w:rPr>
              <w:t>nd</w:t>
            </w:r>
            <w:r w:rsidR="00C463C1" w:rsidRPr="00C463C1">
              <w:rPr>
                <w:rFonts w:cstheme="minorHAnsi"/>
                <w:color w:val="000000"/>
              </w:rPr>
              <w:t xml:space="preserve"> year </w:t>
            </w:r>
            <w:r w:rsidRPr="00BF3EC9">
              <w:rPr>
                <w:rFonts w:cstheme="minorHAnsi"/>
                <w:color w:val="000000"/>
              </w:rPr>
              <w:t>GEM</w:t>
            </w:r>
            <w:r w:rsidR="00C463C1" w:rsidRPr="00C463C1">
              <w:rPr>
                <w:rFonts w:cstheme="minorHAnsi"/>
                <w:color w:val="000000"/>
              </w:rPr>
              <w:t>)</w:t>
            </w:r>
            <w:r w:rsidRPr="00BF3EC9">
              <w:rPr>
                <w:rFonts w:cstheme="minorHAnsi"/>
                <w:color w:val="000000"/>
              </w:rPr>
              <w:t xml:space="preserve"> students with an interest in research, home modifications, housing, or environmental design.</w:t>
            </w:r>
          </w:p>
        </w:tc>
      </w:tr>
      <w:tr w:rsidR="00FA2569" w:rsidRPr="00454FF1" w14:paraId="090A1DC5" w14:textId="77777777" w:rsidTr="00FA2569">
        <w:tc>
          <w:tcPr>
            <w:tcW w:w="1985" w:type="dxa"/>
            <w:shd w:val="clear" w:color="auto" w:fill="F2F2F2" w:themeFill="background1" w:themeFillShade="F2"/>
          </w:tcPr>
          <w:p w14:paraId="3F4D975E" w14:textId="77777777" w:rsidR="00FA2569" w:rsidRDefault="00C20DAA" w:rsidP="00572718">
            <w:pPr>
              <w:rPr>
                <w:rFonts w:cstheme="minorHAnsi"/>
                <w:b/>
              </w:rPr>
            </w:pPr>
            <w:r>
              <w:rPr>
                <w:rFonts w:cstheme="minorHAnsi"/>
                <w:b/>
              </w:rPr>
              <w:t xml:space="preserve">Primary </w:t>
            </w:r>
            <w:r w:rsidR="00FA2569" w:rsidRPr="00454FF1">
              <w:rPr>
                <w:rFonts w:cstheme="minorHAnsi"/>
                <w:b/>
              </w:rPr>
              <w:t>Supervisor:</w:t>
            </w:r>
          </w:p>
          <w:p w14:paraId="1EB4C645" w14:textId="77777777" w:rsidR="00C20DAA" w:rsidRPr="00454FF1" w:rsidRDefault="00C20DAA" w:rsidP="00572718">
            <w:pPr>
              <w:rPr>
                <w:rFonts w:cstheme="minorHAnsi"/>
                <w:b/>
              </w:rPr>
            </w:pPr>
          </w:p>
        </w:tc>
        <w:tc>
          <w:tcPr>
            <w:tcW w:w="7149" w:type="dxa"/>
          </w:tcPr>
          <w:p w14:paraId="2C13A768" w14:textId="4B5066C6" w:rsidR="00FA2569" w:rsidRPr="00C463C1" w:rsidRDefault="00997732" w:rsidP="00FA2569">
            <w:pPr>
              <w:rPr>
                <w:rFonts w:cstheme="minorHAnsi"/>
              </w:rPr>
            </w:pPr>
            <w:r>
              <w:rPr>
                <w:rFonts w:cstheme="minorHAnsi"/>
              </w:rPr>
              <w:t>Dr Melanie Hoyle</w:t>
            </w:r>
            <w:r w:rsidR="00BF3EC9">
              <w:rPr>
                <w:rFonts w:cstheme="minorHAnsi"/>
              </w:rPr>
              <w:t xml:space="preserve"> (primary supervisor), Ms Elizabeth Ainsworth, &amp; Dr Desleigh de Jonge.</w:t>
            </w:r>
          </w:p>
        </w:tc>
      </w:tr>
      <w:tr w:rsidR="00FA2569" w:rsidRPr="00454FF1" w14:paraId="340D5928" w14:textId="77777777" w:rsidTr="00941E04">
        <w:trPr>
          <w:trHeight w:val="446"/>
        </w:trPr>
        <w:tc>
          <w:tcPr>
            <w:tcW w:w="1985"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7149" w:type="dxa"/>
          </w:tcPr>
          <w:p w14:paraId="57BE2138" w14:textId="307AB3F8" w:rsidR="00941E04" w:rsidRPr="00941E04" w:rsidRDefault="00BF3EC9" w:rsidP="00FA2569">
            <w:pPr>
              <w:rPr>
                <w:rFonts w:cstheme="minorHAnsi"/>
              </w:rPr>
            </w:pPr>
            <w:r w:rsidRPr="00744C3A">
              <w:rPr>
                <w:rFonts w:cstheme="minorHAnsi"/>
              </w:rPr>
              <w:t xml:space="preserve">Further information can be sought from </w:t>
            </w:r>
            <w:r>
              <w:rPr>
                <w:rFonts w:cstheme="minorHAnsi"/>
              </w:rPr>
              <w:t xml:space="preserve">Dr </w:t>
            </w:r>
            <w:r w:rsidRPr="00744C3A">
              <w:rPr>
                <w:rFonts w:cstheme="minorHAnsi"/>
              </w:rPr>
              <w:t>Melanie Hoyle – m.hoyle@uq.edu.au. It is not a requirement to contact the supervisory team prior to applying.</w:t>
            </w:r>
          </w:p>
        </w:tc>
      </w:tr>
    </w:tbl>
    <w:p w14:paraId="7F221803" w14:textId="77777777" w:rsidR="00A54AF7" w:rsidRDefault="00A54AF7"/>
    <w:p w14:paraId="66C16EEA" w14:textId="77777777" w:rsidR="009B723E" w:rsidRDefault="009B723E"/>
    <w:p w14:paraId="4694680C" w14:textId="58462693" w:rsidR="009B723E" w:rsidRPr="009B723E" w:rsidRDefault="009B723E" w:rsidP="009B723E"/>
    <w:p w14:paraId="6FE02B0E" w14:textId="77777777" w:rsidR="009B723E" w:rsidRDefault="009B723E"/>
    <w:sectPr w:rsidR="009B72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C84E" w14:textId="77777777" w:rsidR="008E7711" w:rsidRDefault="008E7711" w:rsidP="00D00E60">
      <w:r>
        <w:separator/>
      </w:r>
    </w:p>
  </w:endnote>
  <w:endnote w:type="continuationSeparator" w:id="0">
    <w:p w14:paraId="06041B64" w14:textId="77777777" w:rsidR="008E7711" w:rsidRDefault="008E7711"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B60D" w14:textId="77777777" w:rsidR="008E7711" w:rsidRDefault="008E7711" w:rsidP="00D00E60">
      <w:r>
        <w:separator/>
      </w:r>
    </w:p>
  </w:footnote>
  <w:footnote w:type="continuationSeparator" w:id="0">
    <w:p w14:paraId="6D7D1606" w14:textId="77777777" w:rsidR="008E7711" w:rsidRDefault="008E7711"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62C06"/>
    <w:rsid w:val="0008178C"/>
    <w:rsid w:val="000B5FE8"/>
    <w:rsid w:val="000C6E7B"/>
    <w:rsid w:val="00112B41"/>
    <w:rsid w:val="00190DE8"/>
    <w:rsid w:val="001C1584"/>
    <w:rsid w:val="0024264B"/>
    <w:rsid w:val="002B5ABA"/>
    <w:rsid w:val="002C3615"/>
    <w:rsid w:val="00332027"/>
    <w:rsid w:val="003570F0"/>
    <w:rsid w:val="004175CE"/>
    <w:rsid w:val="00454FF1"/>
    <w:rsid w:val="004C1625"/>
    <w:rsid w:val="00502FC5"/>
    <w:rsid w:val="00511802"/>
    <w:rsid w:val="005646D9"/>
    <w:rsid w:val="00572429"/>
    <w:rsid w:val="00587DB0"/>
    <w:rsid w:val="005E4123"/>
    <w:rsid w:val="00675329"/>
    <w:rsid w:val="00715346"/>
    <w:rsid w:val="007773C9"/>
    <w:rsid w:val="00781637"/>
    <w:rsid w:val="00804720"/>
    <w:rsid w:val="008E7711"/>
    <w:rsid w:val="008F711C"/>
    <w:rsid w:val="00911DF1"/>
    <w:rsid w:val="00922FF4"/>
    <w:rsid w:val="00941E04"/>
    <w:rsid w:val="00997732"/>
    <w:rsid w:val="009B723E"/>
    <w:rsid w:val="009F1503"/>
    <w:rsid w:val="00A54AF7"/>
    <w:rsid w:val="00A76B9C"/>
    <w:rsid w:val="00A85667"/>
    <w:rsid w:val="00AC309A"/>
    <w:rsid w:val="00BA289F"/>
    <w:rsid w:val="00BF3EC9"/>
    <w:rsid w:val="00C02A73"/>
    <w:rsid w:val="00C16A3E"/>
    <w:rsid w:val="00C20DAA"/>
    <w:rsid w:val="00C463C1"/>
    <w:rsid w:val="00C736FA"/>
    <w:rsid w:val="00D00E60"/>
    <w:rsid w:val="00D41190"/>
    <w:rsid w:val="00D61347"/>
    <w:rsid w:val="00EE0444"/>
    <w:rsid w:val="00F10875"/>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character" w:styleId="UnresolvedMention">
    <w:name w:val="Unresolved Mention"/>
    <w:basedOn w:val="DefaultParagraphFont"/>
    <w:uiPriority w:val="99"/>
    <w:semiHidden/>
    <w:unhideWhenUsed/>
    <w:rsid w:val="0099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able.co.nz/tools/forms/competency-framework-complex-hou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rary.aota.org/OT_Practice_Guidelines_Home_Modifi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ustedassessing.com/resources-a-competency-framework-for-trusted-assessors/" TargetMode="External"/><Relationship Id="rId5" Type="http://schemas.openxmlformats.org/officeDocument/2006/relationships/footnotes" Target="footnotes.xml"/><Relationship Id="rId10" Type="http://schemas.openxmlformats.org/officeDocument/2006/relationships/hyperlink" Target="https://otaus.com.au/resources/capability-framework-for-occupational-therapists-supporting-people-with-environmental-and-home-modifications" TargetMode="External"/><Relationship Id="rId4" Type="http://schemas.openxmlformats.org/officeDocument/2006/relationships/webSettings" Target="webSettings.xml"/><Relationship Id="rId9" Type="http://schemas.openxmlformats.org/officeDocument/2006/relationships/hyperlink" Target="https://www.enable.co.nz/tools/forms/competency-framework-complex-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984</Words>
  <Characters>5613</Characters>
  <Application>Microsoft Office Word</Application>
  <DocSecurity>0</DocSecurity>
  <Lines>170</Lines>
  <Paragraphs>71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5</cp:revision>
  <dcterms:created xsi:type="dcterms:W3CDTF">2026-02-24T07:51:00Z</dcterms:created>
  <dcterms:modified xsi:type="dcterms:W3CDTF">2026-03-16T04:33:00Z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