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3"/>
        <w:gridCol w:w="6945"/>
      </w:tblGrid>
      <w:tr w:rsidR="00786990" w:rsidRPr="00454FF1" w14:paraId="144F970C" w14:textId="77777777" w:rsidTr="00786990">
        <w:tc>
          <w:tcPr>
            <w:tcW w:w="1963" w:type="dxa"/>
            <w:shd w:val="clear" w:color="auto" w:fill="F2F2F2" w:themeFill="background1" w:themeFillShade="F2"/>
          </w:tcPr>
          <w:p w14:paraId="1C2F0939" w14:textId="77777777" w:rsidR="00786990" w:rsidRPr="00454FF1" w:rsidRDefault="00786990" w:rsidP="00786990">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45" w:type="dxa"/>
          </w:tcPr>
          <w:p w14:paraId="7F161F8A" w14:textId="77777777" w:rsidR="00786990" w:rsidRPr="00D00E60" w:rsidRDefault="00786990" w:rsidP="00786990">
            <w:pPr>
              <w:rPr>
                <w:rStyle w:val="Strong"/>
                <w:rFonts w:cstheme="minorHAnsi"/>
                <w:b w:val="0"/>
                <w:bCs w:val="0"/>
                <w:color w:val="000000"/>
                <w:bdr w:val="none" w:sz="0" w:space="0" w:color="auto" w:frame="1"/>
              </w:rPr>
            </w:pPr>
            <w:r>
              <w:rPr>
                <w:rStyle w:val="Strong"/>
                <w:rFonts w:cstheme="minorHAnsi"/>
                <w:b w:val="0"/>
                <w:bCs w:val="0"/>
                <w:color w:val="000000"/>
                <w:bdr w:val="none" w:sz="0" w:space="0" w:color="auto" w:frame="1"/>
              </w:rPr>
              <w:t>F</w:t>
            </w:r>
            <w:r>
              <w:rPr>
                <w:rStyle w:val="Strong"/>
                <w:color w:val="000000"/>
                <w:bdr w:val="none" w:sz="0" w:space="0" w:color="auto" w:frame="1"/>
              </w:rPr>
              <w:t>eedback Literacy in Clinical Simulation (FLICS)</w:t>
            </w:r>
          </w:p>
          <w:p w14:paraId="2ADA5084" w14:textId="77777777" w:rsidR="00786990" w:rsidRPr="00454FF1" w:rsidRDefault="00786990" w:rsidP="00786990">
            <w:pPr>
              <w:rPr>
                <w:rFonts w:cstheme="minorHAnsi"/>
                <w:b/>
              </w:rPr>
            </w:pPr>
          </w:p>
        </w:tc>
      </w:tr>
      <w:tr w:rsidR="00786990" w:rsidRPr="00454FF1" w14:paraId="498DFC9A" w14:textId="77777777" w:rsidTr="00786990">
        <w:tc>
          <w:tcPr>
            <w:tcW w:w="1963" w:type="dxa"/>
            <w:shd w:val="clear" w:color="auto" w:fill="F2F2F2" w:themeFill="background1" w:themeFillShade="F2"/>
          </w:tcPr>
          <w:p w14:paraId="4C625896" w14:textId="2495A9BD" w:rsidR="00786990" w:rsidRPr="00454FF1" w:rsidRDefault="00786990" w:rsidP="00786990">
            <w:pPr>
              <w:rPr>
                <w:rFonts w:cstheme="minorHAnsi"/>
                <w:b/>
              </w:rPr>
            </w:pPr>
            <w:r>
              <w:rPr>
                <w:rFonts w:cstheme="minorHAnsi"/>
                <w:b/>
              </w:rPr>
              <w:t>Hours of engagement &amp; delivery mode</w:t>
            </w:r>
          </w:p>
        </w:tc>
        <w:tc>
          <w:tcPr>
            <w:tcW w:w="6945" w:type="dxa"/>
          </w:tcPr>
          <w:p w14:paraId="3A4EB494" w14:textId="77777777" w:rsidR="00786990" w:rsidRDefault="00786990" w:rsidP="00786990">
            <w:pPr>
              <w:rPr>
                <w:rFonts w:cstheme="minorHAnsi"/>
              </w:rPr>
            </w:pPr>
            <w:r>
              <w:rPr>
                <w:rFonts w:cstheme="minorHAnsi"/>
              </w:rPr>
              <w:t>Number of students: 1-2</w:t>
            </w:r>
          </w:p>
          <w:p w14:paraId="78726190" w14:textId="11C2AD34" w:rsidR="00786990" w:rsidRPr="00922FF4" w:rsidRDefault="00786990" w:rsidP="00786990">
            <w:pPr>
              <w:rPr>
                <w:rFonts w:cstheme="minorHAnsi"/>
              </w:rPr>
            </w:pPr>
            <w:r>
              <w:rPr>
                <w:rFonts w:cstheme="minorHAnsi"/>
              </w:rPr>
              <w:t>Duration of the project: 4</w:t>
            </w:r>
            <w:r w:rsidRPr="00922FF4">
              <w:rPr>
                <w:rFonts w:cstheme="minorHAnsi"/>
              </w:rPr>
              <w:t xml:space="preserve"> weeks </w:t>
            </w:r>
            <w:r>
              <w:rPr>
                <w:rFonts w:cstheme="minorHAnsi"/>
              </w:rPr>
              <w:t>during 30 June – 25 July 2025</w:t>
            </w:r>
          </w:p>
          <w:p w14:paraId="5715BC4F" w14:textId="77777777" w:rsidR="00786990" w:rsidRPr="00922FF4" w:rsidRDefault="00786990" w:rsidP="00786990">
            <w:pPr>
              <w:rPr>
                <w:rFonts w:cstheme="minorHAnsi"/>
              </w:rPr>
            </w:pPr>
            <w:r w:rsidRPr="00922FF4">
              <w:rPr>
                <w:rFonts w:cstheme="minorHAnsi"/>
              </w:rPr>
              <w:t>Hours of engagement</w:t>
            </w:r>
            <w:r>
              <w:rPr>
                <w:rFonts w:cstheme="minorHAnsi"/>
              </w:rPr>
              <w:t xml:space="preserve">: ~ </w:t>
            </w:r>
            <w:r w:rsidRPr="00922FF4">
              <w:rPr>
                <w:rFonts w:cstheme="minorHAnsi"/>
              </w:rPr>
              <w:t>3</w:t>
            </w:r>
            <w:r>
              <w:rPr>
                <w:rFonts w:cstheme="minorHAnsi"/>
              </w:rPr>
              <w:t xml:space="preserve">0 hours </w:t>
            </w:r>
            <w:r w:rsidRPr="00922FF4">
              <w:rPr>
                <w:rFonts w:cstheme="minorHAnsi"/>
              </w:rPr>
              <w:t>per week</w:t>
            </w:r>
          </w:p>
          <w:p w14:paraId="5BDFF88A" w14:textId="77E60B39" w:rsidR="00786990" w:rsidRPr="00941E04" w:rsidRDefault="00786990" w:rsidP="00786990">
            <w:pPr>
              <w:rPr>
                <w:rFonts w:cstheme="minorHAnsi"/>
              </w:rPr>
            </w:pPr>
            <w:r w:rsidRPr="00AA02FA">
              <w:rPr>
                <w:rFonts w:cstheme="minorHAnsi"/>
              </w:rPr>
              <w:t xml:space="preserve">Engagement/Delivery Mode: </w:t>
            </w:r>
            <w:r>
              <w:rPr>
                <w:rFonts w:cstheme="minorHAnsi"/>
              </w:rPr>
              <w:t xml:space="preserve">The successful applicants will </w:t>
            </w:r>
            <w:r w:rsidRPr="00AA02FA">
              <w:rPr>
                <w:rFonts w:cstheme="minorHAnsi"/>
              </w:rPr>
              <w:t xml:space="preserve">be </w:t>
            </w:r>
            <w:r>
              <w:rPr>
                <w:rFonts w:cstheme="minorHAnsi"/>
              </w:rPr>
              <w:t xml:space="preserve">able to work in a hybrid model of working including </w:t>
            </w:r>
            <w:r w:rsidRPr="00AA02FA">
              <w:rPr>
                <w:rFonts w:cstheme="minorHAnsi"/>
              </w:rPr>
              <w:t xml:space="preserve">remote and on-site </w:t>
            </w:r>
            <w:r>
              <w:rPr>
                <w:rFonts w:cstheme="minorHAnsi"/>
              </w:rPr>
              <w:t>activities.</w:t>
            </w:r>
          </w:p>
          <w:p w14:paraId="54E0A7B0" w14:textId="703F7EB1" w:rsidR="00786990" w:rsidRPr="00454FF1" w:rsidRDefault="00786990" w:rsidP="00786990">
            <w:pPr>
              <w:rPr>
                <w:rFonts w:cstheme="minorHAnsi"/>
                <w:i/>
              </w:rPr>
            </w:pPr>
          </w:p>
        </w:tc>
      </w:tr>
      <w:tr w:rsidR="00786990" w:rsidRPr="00454FF1" w14:paraId="77B9C0CB" w14:textId="77777777" w:rsidTr="00786990">
        <w:tc>
          <w:tcPr>
            <w:tcW w:w="1963" w:type="dxa"/>
            <w:shd w:val="clear" w:color="auto" w:fill="F2F2F2" w:themeFill="background1" w:themeFillShade="F2"/>
          </w:tcPr>
          <w:p w14:paraId="67208ED6" w14:textId="77777777" w:rsidR="00786990" w:rsidRPr="00454FF1" w:rsidRDefault="00786990" w:rsidP="00786990">
            <w:pPr>
              <w:rPr>
                <w:rFonts w:cstheme="minorHAnsi"/>
                <w:b/>
              </w:rPr>
            </w:pPr>
            <w:r w:rsidRPr="00454FF1">
              <w:rPr>
                <w:rFonts w:cstheme="minorHAnsi"/>
                <w:b/>
                <w:color w:val="000000"/>
              </w:rPr>
              <w:t>Description:</w:t>
            </w:r>
          </w:p>
        </w:tc>
        <w:tc>
          <w:tcPr>
            <w:tcW w:w="6945" w:type="dxa"/>
          </w:tcPr>
          <w:p w14:paraId="12DA3702" w14:textId="77777777" w:rsidR="00786990" w:rsidRPr="007E69FD" w:rsidRDefault="00786990" w:rsidP="00786990">
            <w:pPr>
              <w:rPr>
                <w:rFonts w:cstheme="minorHAnsi"/>
                <w:iCs/>
              </w:rPr>
            </w:pPr>
            <w:r w:rsidRPr="007E69FD">
              <w:rPr>
                <w:rFonts w:cstheme="minorHAnsi"/>
                <w:iCs/>
              </w:rPr>
              <w:t xml:space="preserve">Simulation-based learning (SBL) is an interactive teaching and learning method that allows learners to practise and apply their knowledge in scenarios that would be experienced in the real world. SBL also ensures exposure to specific patient types and clinical scenarios and prioritises time to reflect on performance and engage in feedback processes. Many universities have invested heavily in SBL infrastructure, faculty and resources to help meet the demand for healthcare professional clinical education into the future. Despite these large investments, little is known about the mechanisms of learning through feedback in SBL. Furthermore, best practice guidelines for effective feedback processes and strategies to develop and optimise stakeholders’ feedback capabilities within SBL experiences are not available. </w:t>
            </w:r>
          </w:p>
          <w:p w14:paraId="587CF91A" w14:textId="77777777" w:rsidR="00786990" w:rsidRPr="007E69FD" w:rsidRDefault="00786990" w:rsidP="00786990">
            <w:pPr>
              <w:rPr>
                <w:rFonts w:cstheme="minorHAnsi"/>
                <w:i/>
              </w:rPr>
            </w:pPr>
          </w:p>
          <w:p w14:paraId="4D6D4F2F" w14:textId="77777777" w:rsidR="00786990" w:rsidRDefault="00786990" w:rsidP="00786990">
            <w:pPr>
              <w:rPr>
                <w:rFonts w:cstheme="minorHAnsi"/>
                <w:iCs/>
              </w:rPr>
            </w:pPr>
            <w:r w:rsidRPr="007E69FD">
              <w:rPr>
                <w:rFonts w:cstheme="minorHAnsi"/>
                <w:iCs/>
              </w:rPr>
              <w:t>Feedback is critical to learning and important for reflective, lifelong learners in health professions. Learners require effective feedback for learning to develop skills as future health professionals, yet they are often dissatisfied with their feedback experiences. Effective feedback in SBL needs to involve all stakeholders. Learners benefit from engaging in feedback with multiple stakeholders in SBL (i.e., peers, simulated patients, educators). Opportunities for feedback and discussion may take place within- and post-simulation and are viewed as the most important aspect of SBL for supporting student’ learning. The ways in which feedback is delivered and received within SBL is inconsistent and poorly understood. Best practice guidelines for facilitating effective and well-received feedback within SBL experiences are urgently required to maximise health professional students’ clinical learning outcomes</w:t>
            </w:r>
            <w:r>
              <w:rPr>
                <w:rFonts w:cstheme="minorHAnsi"/>
                <w:iCs/>
              </w:rPr>
              <w:t xml:space="preserve">. </w:t>
            </w:r>
          </w:p>
          <w:p w14:paraId="758397C3" w14:textId="77777777" w:rsidR="00786990" w:rsidRPr="007E69FD" w:rsidRDefault="00786990" w:rsidP="00786990">
            <w:pPr>
              <w:rPr>
                <w:rFonts w:cstheme="minorHAnsi"/>
                <w:iCs/>
              </w:rPr>
            </w:pPr>
          </w:p>
          <w:p w14:paraId="5461FDF0" w14:textId="77777777" w:rsidR="00786990" w:rsidRPr="007E69FD" w:rsidRDefault="00786990" w:rsidP="00786990">
            <w:pPr>
              <w:rPr>
                <w:rFonts w:cstheme="minorHAnsi"/>
                <w:iCs/>
              </w:rPr>
            </w:pPr>
            <w:r w:rsidRPr="007E69FD">
              <w:rPr>
                <w:rFonts w:cstheme="minorHAnsi"/>
                <w:iCs/>
              </w:rPr>
              <w:t>This project aims to (1) explore the perspectives of learners, simulated patients, and educators on feedback processes within SBL experiences across health care professions and international institutions, and (2) develop best practice guidelines for feedback processes in SBL.</w:t>
            </w:r>
          </w:p>
          <w:p w14:paraId="1F04017C" w14:textId="77777777" w:rsidR="00786990" w:rsidRPr="00454FF1" w:rsidRDefault="00786990" w:rsidP="00786990">
            <w:pPr>
              <w:rPr>
                <w:rFonts w:cstheme="minorHAnsi"/>
                <w:i/>
              </w:rPr>
            </w:pPr>
          </w:p>
        </w:tc>
      </w:tr>
      <w:tr w:rsidR="00786990" w:rsidRPr="00454FF1" w14:paraId="08D1F94C" w14:textId="77777777" w:rsidTr="00786990">
        <w:trPr>
          <w:trHeight w:val="1028"/>
        </w:trPr>
        <w:tc>
          <w:tcPr>
            <w:tcW w:w="1963" w:type="dxa"/>
            <w:shd w:val="clear" w:color="auto" w:fill="F2F2F2" w:themeFill="background1" w:themeFillShade="F2"/>
          </w:tcPr>
          <w:p w14:paraId="2C262847" w14:textId="0CFB9163" w:rsidR="00786990" w:rsidRPr="00454FF1" w:rsidRDefault="00786990" w:rsidP="00786990">
            <w:pPr>
              <w:rPr>
                <w:rFonts w:cstheme="minorHAnsi"/>
                <w:b/>
              </w:rPr>
            </w:pPr>
            <w:r>
              <w:rPr>
                <w:rFonts w:cstheme="minorHAnsi"/>
                <w:b/>
              </w:rPr>
              <w:t>Expected learning outcomes and deliverables:</w:t>
            </w:r>
          </w:p>
        </w:tc>
        <w:tc>
          <w:tcPr>
            <w:tcW w:w="6945" w:type="dxa"/>
          </w:tcPr>
          <w:p w14:paraId="08DC5C6A" w14:textId="377AC321" w:rsidR="00786990" w:rsidRPr="00454FF1" w:rsidRDefault="00786990" w:rsidP="00786990">
            <w:pPr>
              <w:rPr>
                <w:rFonts w:cstheme="minorHAnsi"/>
                <w:i/>
              </w:rPr>
            </w:pPr>
            <w:r w:rsidRPr="00D805AB">
              <w:rPr>
                <w:rFonts w:cstheme="minorHAnsi"/>
                <w:iCs/>
                <w:color w:val="000000"/>
              </w:rPr>
              <w:t xml:space="preserve">The </w:t>
            </w:r>
            <w:r>
              <w:rPr>
                <w:rFonts w:cstheme="minorHAnsi"/>
                <w:iCs/>
                <w:color w:val="000000"/>
              </w:rPr>
              <w:t xml:space="preserve">winter </w:t>
            </w:r>
            <w:r w:rsidRPr="00D805AB">
              <w:rPr>
                <w:rFonts w:cstheme="minorHAnsi"/>
                <w:iCs/>
                <w:color w:val="000000"/>
              </w:rPr>
              <w:t>scholar</w:t>
            </w:r>
            <w:r>
              <w:rPr>
                <w:rFonts w:cstheme="minorHAnsi"/>
                <w:iCs/>
                <w:color w:val="000000"/>
              </w:rPr>
              <w:t>/s</w:t>
            </w:r>
            <w:r w:rsidRPr="00D805AB">
              <w:rPr>
                <w:rFonts w:cstheme="minorHAnsi"/>
                <w:iCs/>
                <w:color w:val="000000"/>
              </w:rPr>
              <w:t xml:space="preserve"> </w:t>
            </w:r>
            <w:r>
              <w:rPr>
                <w:rFonts w:cstheme="minorHAnsi"/>
                <w:iCs/>
                <w:color w:val="000000"/>
              </w:rPr>
              <w:t xml:space="preserve">will </w:t>
            </w:r>
            <w:r w:rsidRPr="00D805AB">
              <w:rPr>
                <w:rFonts w:cstheme="minorHAnsi"/>
                <w:iCs/>
                <w:color w:val="000000"/>
              </w:rPr>
              <w:t>gain skills in qualitative data analysis</w:t>
            </w:r>
            <w:r>
              <w:rPr>
                <w:rFonts w:cstheme="minorHAnsi"/>
                <w:iCs/>
                <w:color w:val="000000"/>
              </w:rPr>
              <w:t xml:space="preserve"> and</w:t>
            </w:r>
            <w:r w:rsidRPr="00D805AB">
              <w:rPr>
                <w:rFonts w:cstheme="minorHAnsi"/>
                <w:iCs/>
                <w:color w:val="000000"/>
              </w:rPr>
              <w:t xml:space="preserve"> will be provided with access to research networks and connections with other academic staff and students.</w:t>
            </w:r>
            <w:r>
              <w:rPr>
                <w:rFonts w:cstheme="minorHAnsi"/>
                <w:iCs/>
                <w:color w:val="000000"/>
              </w:rPr>
              <w:t xml:space="preserve"> They will also be involved in reviewing current literature to assist in the development of a research paper for </w:t>
            </w:r>
            <w:r w:rsidRPr="00D805AB">
              <w:rPr>
                <w:rFonts w:cstheme="minorHAnsi"/>
                <w:iCs/>
                <w:color w:val="000000"/>
              </w:rPr>
              <w:t>publication.</w:t>
            </w:r>
          </w:p>
        </w:tc>
      </w:tr>
      <w:tr w:rsidR="00786990" w:rsidRPr="00454FF1" w14:paraId="3FC33824" w14:textId="77777777" w:rsidTr="00786990">
        <w:trPr>
          <w:trHeight w:val="1676"/>
        </w:trPr>
        <w:tc>
          <w:tcPr>
            <w:tcW w:w="1963" w:type="dxa"/>
            <w:shd w:val="clear" w:color="auto" w:fill="F2F2F2" w:themeFill="background1" w:themeFillShade="F2"/>
          </w:tcPr>
          <w:p w14:paraId="7A558138" w14:textId="77777777" w:rsidR="00786990" w:rsidRPr="00454FF1" w:rsidRDefault="00786990" w:rsidP="00786990">
            <w:pPr>
              <w:rPr>
                <w:rFonts w:cstheme="minorHAnsi"/>
                <w:b/>
              </w:rPr>
            </w:pPr>
            <w:r w:rsidRPr="00454FF1">
              <w:rPr>
                <w:rFonts w:cstheme="minorHAnsi"/>
                <w:b/>
              </w:rPr>
              <w:lastRenderedPageBreak/>
              <w:t>Suitable for:</w:t>
            </w:r>
          </w:p>
        </w:tc>
        <w:tc>
          <w:tcPr>
            <w:tcW w:w="6945" w:type="dxa"/>
          </w:tcPr>
          <w:p w14:paraId="1A1F276C" w14:textId="77777777" w:rsidR="00786990" w:rsidRDefault="00786990" w:rsidP="00786990">
            <w:pPr>
              <w:rPr>
                <w:rFonts w:cstheme="minorHAnsi"/>
                <w:color w:val="000000"/>
              </w:rPr>
            </w:pPr>
            <w:r>
              <w:rPr>
                <w:rFonts w:cstheme="minorHAnsi"/>
                <w:color w:val="000000"/>
              </w:rPr>
              <w:t>This project is open to applications from UQ students with a background in occupational therapy, physiotherapy or speech pathology.</w:t>
            </w:r>
          </w:p>
          <w:p w14:paraId="3674F40C" w14:textId="622F47F8" w:rsidR="00786990" w:rsidRPr="00454FF1" w:rsidRDefault="00786990" w:rsidP="00786990">
            <w:pPr>
              <w:rPr>
                <w:rFonts w:cstheme="minorHAnsi"/>
                <w:i/>
              </w:rPr>
            </w:pPr>
            <w:r w:rsidRPr="0009697B">
              <w:rPr>
                <w:rFonts w:cstheme="minorHAnsi"/>
                <w:color w:val="000000"/>
              </w:rPr>
              <w:t>We are seeking a motivated applicant</w:t>
            </w:r>
            <w:r>
              <w:rPr>
                <w:rFonts w:cstheme="minorHAnsi"/>
                <w:color w:val="000000"/>
              </w:rPr>
              <w:t>/s</w:t>
            </w:r>
            <w:r w:rsidRPr="0009697B">
              <w:rPr>
                <w:rFonts w:cstheme="minorHAnsi"/>
                <w:color w:val="000000"/>
              </w:rPr>
              <w:t xml:space="preserve"> with excellent organisational</w:t>
            </w:r>
            <w:r>
              <w:rPr>
                <w:rFonts w:cstheme="minorHAnsi"/>
                <w:color w:val="000000"/>
              </w:rPr>
              <w:t xml:space="preserve"> and written </w:t>
            </w:r>
            <w:r w:rsidRPr="0009697B">
              <w:rPr>
                <w:rFonts w:cstheme="minorHAnsi"/>
                <w:color w:val="000000"/>
              </w:rPr>
              <w:t>communication skills.</w:t>
            </w:r>
            <w:r>
              <w:rPr>
                <w:rFonts w:cstheme="minorHAnsi"/>
                <w:color w:val="000000"/>
              </w:rPr>
              <w:t xml:space="preserve"> </w:t>
            </w:r>
            <w:r w:rsidRPr="00D805AB">
              <w:rPr>
                <w:rFonts w:cstheme="minorHAnsi"/>
                <w:iCs/>
                <w:color w:val="000000"/>
              </w:rPr>
              <w:t xml:space="preserve">Applicants should have an interest in </w:t>
            </w:r>
            <w:r>
              <w:rPr>
                <w:rFonts w:cstheme="minorHAnsi"/>
                <w:iCs/>
                <w:color w:val="000000"/>
              </w:rPr>
              <w:t xml:space="preserve">learning processes, simulation and </w:t>
            </w:r>
            <w:r w:rsidRPr="00D805AB">
              <w:rPr>
                <w:rFonts w:cstheme="minorHAnsi"/>
                <w:iCs/>
                <w:color w:val="000000"/>
              </w:rPr>
              <w:t xml:space="preserve">qualitative research </w:t>
            </w:r>
            <w:r>
              <w:rPr>
                <w:rFonts w:cstheme="minorHAnsi"/>
                <w:iCs/>
                <w:color w:val="000000"/>
              </w:rPr>
              <w:t>methodologies</w:t>
            </w:r>
            <w:r w:rsidRPr="00D805AB">
              <w:rPr>
                <w:rFonts w:cstheme="minorHAnsi"/>
                <w:iCs/>
                <w:color w:val="000000"/>
              </w:rPr>
              <w:t>.</w:t>
            </w:r>
          </w:p>
        </w:tc>
      </w:tr>
      <w:tr w:rsidR="00786990" w:rsidRPr="00454FF1" w14:paraId="090A1DC5" w14:textId="77777777" w:rsidTr="00786990">
        <w:tc>
          <w:tcPr>
            <w:tcW w:w="1963" w:type="dxa"/>
            <w:shd w:val="clear" w:color="auto" w:fill="F2F2F2" w:themeFill="background1" w:themeFillShade="F2"/>
          </w:tcPr>
          <w:p w14:paraId="3F4D975E" w14:textId="77777777" w:rsidR="00786990" w:rsidRDefault="00786990" w:rsidP="00786990">
            <w:pPr>
              <w:rPr>
                <w:rFonts w:cstheme="minorHAnsi"/>
                <w:b/>
              </w:rPr>
            </w:pPr>
            <w:r>
              <w:rPr>
                <w:rFonts w:cstheme="minorHAnsi"/>
                <w:b/>
              </w:rPr>
              <w:t xml:space="preserve">Primary </w:t>
            </w:r>
            <w:r w:rsidRPr="00454FF1">
              <w:rPr>
                <w:rFonts w:cstheme="minorHAnsi"/>
                <w:b/>
              </w:rPr>
              <w:t>Supervisor:</w:t>
            </w:r>
          </w:p>
          <w:p w14:paraId="1EB4C645" w14:textId="77777777" w:rsidR="00786990" w:rsidRPr="00454FF1" w:rsidRDefault="00786990" w:rsidP="00786990">
            <w:pPr>
              <w:rPr>
                <w:rFonts w:cstheme="minorHAnsi"/>
                <w:b/>
              </w:rPr>
            </w:pPr>
          </w:p>
        </w:tc>
        <w:tc>
          <w:tcPr>
            <w:tcW w:w="6945" w:type="dxa"/>
          </w:tcPr>
          <w:p w14:paraId="182705BB" w14:textId="312708CC" w:rsidR="00786990" w:rsidRPr="00941E04" w:rsidRDefault="00786990" w:rsidP="00786990">
            <w:pPr>
              <w:rPr>
                <w:rFonts w:cstheme="minorHAnsi"/>
              </w:rPr>
            </w:pPr>
            <w:r>
              <w:rPr>
                <w:rFonts w:cstheme="minorHAnsi"/>
              </w:rPr>
              <w:t>Dr Adriana Penman and Assoc. Prof. Roma Forbes</w:t>
            </w:r>
          </w:p>
          <w:p w14:paraId="2C13A768" w14:textId="77777777" w:rsidR="00786990" w:rsidRPr="00454FF1" w:rsidRDefault="00786990" w:rsidP="00786990">
            <w:pPr>
              <w:rPr>
                <w:rFonts w:cstheme="minorHAnsi"/>
                <w:i/>
              </w:rPr>
            </w:pPr>
          </w:p>
        </w:tc>
      </w:tr>
      <w:tr w:rsidR="00786990" w:rsidRPr="00454FF1" w14:paraId="340D5928" w14:textId="77777777" w:rsidTr="00786990">
        <w:trPr>
          <w:trHeight w:val="446"/>
        </w:trPr>
        <w:tc>
          <w:tcPr>
            <w:tcW w:w="1963" w:type="dxa"/>
            <w:shd w:val="clear" w:color="auto" w:fill="F2F2F2" w:themeFill="background1" w:themeFillShade="F2"/>
          </w:tcPr>
          <w:p w14:paraId="6424D200" w14:textId="77777777" w:rsidR="00786990" w:rsidRPr="00454FF1" w:rsidRDefault="00786990" w:rsidP="00786990">
            <w:pPr>
              <w:rPr>
                <w:rFonts w:cstheme="minorHAnsi"/>
                <w:b/>
              </w:rPr>
            </w:pPr>
            <w:r>
              <w:rPr>
                <w:rFonts w:cstheme="minorHAnsi"/>
                <w:b/>
              </w:rPr>
              <w:t>Further info:</w:t>
            </w:r>
          </w:p>
        </w:tc>
        <w:tc>
          <w:tcPr>
            <w:tcW w:w="6945" w:type="dxa"/>
          </w:tcPr>
          <w:p w14:paraId="25452304" w14:textId="77777777" w:rsidR="00786990" w:rsidRDefault="00786990" w:rsidP="00786990">
            <w:pPr>
              <w:rPr>
                <w:rFonts w:cstheme="minorHAnsi"/>
              </w:rPr>
            </w:pPr>
            <w:r w:rsidRPr="00941E04">
              <w:rPr>
                <w:rFonts w:cstheme="minorHAnsi"/>
              </w:rPr>
              <w:t>If</w:t>
            </w:r>
            <w:r>
              <w:rPr>
                <w:rFonts w:cstheme="minorHAnsi"/>
              </w:rPr>
              <w:t xml:space="preserve"> </w:t>
            </w:r>
            <w:r w:rsidRPr="00941E04">
              <w:rPr>
                <w:rFonts w:cstheme="minorHAnsi"/>
              </w:rPr>
              <w:t>you would like further information</w:t>
            </w:r>
            <w:r>
              <w:rPr>
                <w:rFonts w:cstheme="minorHAnsi"/>
              </w:rPr>
              <w:t xml:space="preserve"> about the project</w:t>
            </w:r>
            <w:r w:rsidRPr="00941E04">
              <w:rPr>
                <w:rFonts w:cstheme="minorHAnsi"/>
              </w:rPr>
              <w:t xml:space="preserve">, please </w:t>
            </w:r>
            <w:r>
              <w:rPr>
                <w:rFonts w:cstheme="minorHAnsi"/>
              </w:rPr>
              <w:t>contact</w:t>
            </w:r>
          </w:p>
          <w:p w14:paraId="685D19BB" w14:textId="7E85C09C" w:rsidR="00786990" w:rsidRDefault="00786990" w:rsidP="00786990">
            <w:pPr>
              <w:rPr>
                <w:rFonts w:cstheme="minorHAnsi"/>
              </w:rPr>
            </w:pPr>
            <w:r>
              <w:rPr>
                <w:rFonts w:cstheme="minorHAnsi"/>
              </w:rPr>
              <w:t>Dr Adriana Penman (</w:t>
            </w:r>
            <w:hyperlink r:id="rId7" w:history="1">
              <w:r w:rsidRPr="001A6D7A">
                <w:rPr>
                  <w:rStyle w:val="Hyperlink"/>
                  <w:rFonts w:cstheme="minorHAnsi"/>
                </w:rPr>
                <w:t>adriana.penman@uq.edu.au</w:t>
              </w:r>
            </w:hyperlink>
            <w:r>
              <w:rPr>
                <w:rFonts w:cstheme="minorHAnsi"/>
              </w:rPr>
              <w:t xml:space="preserve">) and/or Assoc. Prof. Roma Forbes (r.forbes2@uq.edu.au) </w:t>
            </w:r>
          </w:p>
          <w:p w14:paraId="57BE2138" w14:textId="77777777" w:rsidR="00786990" w:rsidRPr="00941E04" w:rsidRDefault="00786990" w:rsidP="00786990">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C6E7B"/>
    <w:rsid w:val="001C1584"/>
    <w:rsid w:val="002B5ABA"/>
    <w:rsid w:val="00332027"/>
    <w:rsid w:val="003570F0"/>
    <w:rsid w:val="004175CE"/>
    <w:rsid w:val="00454FF1"/>
    <w:rsid w:val="004C1625"/>
    <w:rsid w:val="004F418B"/>
    <w:rsid w:val="00502FC5"/>
    <w:rsid w:val="00511802"/>
    <w:rsid w:val="005646D9"/>
    <w:rsid w:val="00572429"/>
    <w:rsid w:val="00675329"/>
    <w:rsid w:val="00715346"/>
    <w:rsid w:val="00777205"/>
    <w:rsid w:val="007773C9"/>
    <w:rsid w:val="00786990"/>
    <w:rsid w:val="00922FF4"/>
    <w:rsid w:val="00941E04"/>
    <w:rsid w:val="009F1503"/>
    <w:rsid w:val="00A54AF7"/>
    <w:rsid w:val="00A76B9C"/>
    <w:rsid w:val="00A85667"/>
    <w:rsid w:val="00BA289F"/>
    <w:rsid w:val="00C16A3E"/>
    <w:rsid w:val="00C20DAA"/>
    <w:rsid w:val="00C67CF0"/>
    <w:rsid w:val="00C736FA"/>
    <w:rsid w:val="00D00E60"/>
    <w:rsid w:val="00D41190"/>
    <w:rsid w:val="00D61347"/>
    <w:rsid w:val="00F37D30"/>
    <w:rsid w:val="00F47E63"/>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78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iana.penman@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3</cp:revision>
  <dcterms:created xsi:type="dcterms:W3CDTF">2025-02-27T22:07:00Z</dcterms:created>
  <dcterms:modified xsi:type="dcterms:W3CDTF">2025-02-28T02:59:00Z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