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0C4B66BD" w14:textId="77777777" w:rsidR="00625C76" w:rsidRDefault="00625C76" w:rsidP="00A54AF7">
      <w:pPr>
        <w:rPr>
          <w:b/>
          <w:color w:val="000000"/>
          <w:sz w:val="32"/>
        </w:rPr>
      </w:pPr>
    </w:p>
    <w:tbl>
      <w:tblPr>
        <w:tblStyle w:val="TableGrid"/>
        <w:tblW w:w="0" w:type="auto"/>
        <w:tblInd w:w="108" w:type="dxa"/>
        <w:tblLook w:val="04A0" w:firstRow="1" w:lastRow="0" w:firstColumn="1" w:lastColumn="0" w:noHBand="0" w:noVBand="1"/>
      </w:tblPr>
      <w:tblGrid>
        <w:gridCol w:w="1963"/>
        <w:gridCol w:w="6945"/>
      </w:tblGrid>
      <w:tr w:rsidR="00D61347" w:rsidRPr="00454FF1" w14:paraId="144F970C" w14:textId="77777777" w:rsidTr="00B5373C">
        <w:tc>
          <w:tcPr>
            <w:tcW w:w="1963"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6945" w:type="dxa"/>
          </w:tcPr>
          <w:p w14:paraId="2ADA5084" w14:textId="12F1A92D" w:rsidR="00D61347" w:rsidRPr="00454FF1" w:rsidRDefault="00B5373C">
            <w:pPr>
              <w:rPr>
                <w:rFonts w:cstheme="minorHAnsi"/>
                <w:b/>
              </w:rPr>
            </w:pPr>
            <w:r w:rsidRPr="000E614A">
              <w:rPr>
                <w:rStyle w:val="Strong"/>
                <w:rFonts w:cstheme="minorHAnsi"/>
                <w:color w:val="000000"/>
                <w:bdr w:val="none" w:sz="0" w:space="0" w:color="auto" w:frame="1"/>
              </w:rPr>
              <w:t>Neural correlates of recovery from aphasia after stroke</w:t>
            </w:r>
            <w:r w:rsidRPr="00454FF1">
              <w:rPr>
                <w:rFonts w:cstheme="minorHAnsi"/>
                <w:b/>
              </w:rPr>
              <w:t xml:space="preserve"> </w:t>
            </w:r>
          </w:p>
        </w:tc>
      </w:tr>
      <w:tr w:rsidR="00FA2569" w:rsidRPr="00454FF1" w14:paraId="498DFC9A" w14:textId="77777777" w:rsidTr="00B5373C">
        <w:tc>
          <w:tcPr>
            <w:tcW w:w="1963"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6945" w:type="dxa"/>
          </w:tcPr>
          <w:p w14:paraId="2E80CBC6" w14:textId="54EA15B1" w:rsidR="00FA2569" w:rsidRPr="00941E04" w:rsidRDefault="00B5373C" w:rsidP="00572718">
            <w:pPr>
              <w:rPr>
                <w:rFonts w:cstheme="minorHAnsi"/>
              </w:rPr>
            </w:pPr>
            <w:r w:rsidRPr="00922FF4">
              <w:rPr>
                <w:rFonts w:cstheme="minorHAnsi"/>
              </w:rPr>
              <w:t>2</w:t>
            </w:r>
            <w:r>
              <w:rPr>
                <w:rFonts w:cstheme="minorHAnsi"/>
              </w:rPr>
              <w:t>8</w:t>
            </w:r>
            <w:r w:rsidRPr="00922FF4">
              <w:rPr>
                <w:rFonts w:cstheme="minorHAnsi"/>
              </w:rPr>
              <w:t xml:space="preserve"> – 36 hrs per week</w:t>
            </w:r>
            <w:r>
              <w:rPr>
                <w:rFonts w:cstheme="minorHAnsi"/>
              </w:rPr>
              <w:t xml:space="preserve"> by discussion, 4 weeks (30 Jun – 25 Jul 2025). The project will be hybrid. Training will be in-person, and then the work can be done either on-site or remotely, according to student preference.</w:t>
            </w:r>
            <w:r w:rsidR="00922FF4">
              <w:rPr>
                <w:rFonts w:cstheme="minorHAnsi"/>
              </w:rPr>
              <w:t xml:space="preserve"> </w:t>
            </w:r>
          </w:p>
          <w:p w14:paraId="54E0A7B0" w14:textId="703F7EB1" w:rsidR="00FA2569" w:rsidRPr="00454FF1" w:rsidRDefault="00FA2569" w:rsidP="00511802">
            <w:pPr>
              <w:rPr>
                <w:rFonts w:cstheme="minorHAnsi"/>
                <w:i/>
              </w:rPr>
            </w:pPr>
          </w:p>
        </w:tc>
      </w:tr>
      <w:tr w:rsidR="00FA2569" w:rsidRPr="00454FF1" w14:paraId="77B9C0CB" w14:textId="77777777" w:rsidTr="00B5373C">
        <w:tc>
          <w:tcPr>
            <w:tcW w:w="1963"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6945" w:type="dxa"/>
          </w:tcPr>
          <w:p w14:paraId="4888B9D4" w14:textId="77777777" w:rsidR="00B5373C" w:rsidRDefault="00B5373C" w:rsidP="00B5373C">
            <w:pPr>
              <w:rPr>
                <w:rFonts w:cstheme="minorHAnsi"/>
              </w:rPr>
            </w:pPr>
            <w:r w:rsidRPr="002471AA">
              <w:rPr>
                <w:rFonts w:cstheme="minorHAnsi"/>
              </w:rPr>
              <w:t xml:space="preserve">Aphasia (loss of language) is one of the most common and debilitating consequences of stroke. Fortunately, most individuals with aphasia experience some degree of recovery over time. However, there is great variability in terms of the extent of recovery. The overall goals of this project are (1) to describe the nature of recovery from aphasia in the first year after stroke; (2) to identify neuroimaging, </w:t>
            </w:r>
            <w:proofErr w:type="spellStart"/>
            <w:r w:rsidRPr="002471AA">
              <w:rPr>
                <w:rFonts w:cstheme="minorHAnsi"/>
              </w:rPr>
              <w:t>behavioral</w:t>
            </w:r>
            <w:proofErr w:type="spellEnd"/>
            <w:r w:rsidRPr="002471AA">
              <w:rPr>
                <w:rFonts w:cstheme="minorHAnsi"/>
              </w:rPr>
              <w:t>, and patient-related predictors of recovery; and (3) to characterize the neural correlates of recovery using functional and structural imaging</w:t>
            </w:r>
            <w:r>
              <w:rPr>
                <w:rFonts w:cstheme="minorHAnsi"/>
              </w:rPr>
              <w:t>.</w:t>
            </w:r>
          </w:p>
          <w:p w14:paraId="404DD8A6" w14:textId="77777777" w:rsidR="00B5373C" w:rsidRDefault="00B5373C" w:rsidP="00B5373C">
            <w:pPr>
              <w:rPr>
                <w:rFonts w:cstheme="minorHAnsi"/>
              </w:rPr>
            </w:pPr>
          </w:p>
          <w:p w14:paraId="057D41F5" w14:textId="4D20C0C6" w:rsidR="00B5373C" w:rsidRPr="002471AA" w:rsidRDefault="00B5373C" w:rsidP="00B5373C">
            <w:pPr>
              <w:rPr>
                <w:rFonts w:cstheme="minorHAnsi"/>
              </w:rPr>
            </w:pPr>
            <w:r>
              <w:rPr>
                <w:rFonts w:cstheme="minorHAnsi"/>
              </w:rPr>
              <w:t xml:space="preserve">The winter research project will focus on one part of this larger program. Specifically, the scholar(s) will be tasked with editing audiovisual recordings of individuals with post-stroke aphasia completing speech and language evaluations. The purpose of the editing is so that these data can be shared. The scholar(s) will also </w:t>
            </w:r>
            <w:proofErr w:type="gramStart"/>
            <w:r>
              <w:rPr>
                <w:rFonts w:cstheme="minorHAnsi"/>
              </w:rPr>
              <w:t>have the opportunity to</w:t>
            </w:r>
            <w:proofErr w:type="gramEnd"/>
            <w:r>
              <w:rPr>
                <w:rFonts w:cstheme="minorHAnsi"/>
              </w:rPr>
              <w:t xml:space="preserve"> join lab meetings in which the evaluations are reviewed and discussed.</w:t>
            </w:r>
          </w:p>
          <w:p w14:paraId="1F04017C" w14:textId="77777777" w:rsidR="00FA2569" w:rsidRPr="00454FF1" w:rsidRDefault="00FA2569" w:rsidP="00572718">
            <w:pPr>
              <w:rPr>
                <w:rFonts w:cstheme="minorHAnsi"/>
                <w:i/>
              </w:rPr>
            </w:pPr>
          </w:p>
        </w:tc>
      </w:tr>
      <w:tr w:rsidR="00B5373C" w:rsidRPr="00454FF1" w14:paraId="08D1F94C" w14:textId="77777777" w:rsidTr="00B5373C">
        <w:trPr>
          <w:trHeight w:val="1028"/>
        </w:trPr>
        <w:tc>
          <w:tcPr>
            <w:tcW w:w="1963" w:type="dxa"/>
            <w:shd w:val="clear" w:color="auto" w:fill="F2F2F2" w:themeFill="background1" w:themeFillShade="F2"/>
          </w:tcPr>
          <w:p w14:paraId="2C262847" w14:textId="0CFB9163" w:rsidR="00B5373C" w:rsidRPr="00454FF1" w:rsidRDefault="00B5373C" w:rsidP="00B5373C">
            <w:pPr>
              <w:rPr>
                <w:rFonts w:cstheme="minorHAnsi"/>
                <w:b/>
              </w:rPr>
            </w:pPr>
            <w:r>
              <w:rPr>
                <w:rFonts w:cstheme="minorHAnsi"/>
                <w:b/>
              </w:rPr>
              <w:t>Expected learning outcomes and deliverables:</w:t>
            </w:r>
          </w:p>
        </w:tc>
        <w:tc>
          <w:tcPr>
            <w:tcW w:w="6945" w:type="dxa"/>
          </w:tcPr>
          <w:p w14:paraId="08DC5C6A" w14:textId="4E1F1A9A" w:rsidR="00B5373C" w:rsidRPr="00454FF1" w:rsidRDefault="00B5373C" w:rsidP="00B5373C">
            <w:pPr>
              <w:rPr>
                <w:rFonts w:cstheme="minorHAnsi"/>
                <w:i/>
              </w:rPr>
            </w:pPr>
            <w:r>
              <w:rPr>
                <w:rFonts w:cstheme="minorHAnsi"/>
                <w:color w:val="000000"/>
              </w:rPr>
              <w:t>Scholars can expect to become familiar with aphasia assessment, the range of speech and language deficits observed after stroke, and how they recover over time. Scholars will gain skills in video editing and data management. They will be asked to produce a reflection at the end of the project.</w:t>
            </w:r>
          </w:p>
        </w:tc>
      </w:tr>
      <w:tr w:rsidR="00B5373C" w:rsidRPr="00454FF1" w14:paraId="3FC33824" w14:textId="77777777" w:rsidTr="00B5373C">
        <w:trPr>
          <w:trHeight w:val="1676"/>
        </w:trPr>
        <w:tc>
          <w:tcPr>
            <w:tcW w:w="1963" w:type="dxa"/>
            <w:shd w:val="clear" w:color="auto" w:fill="F2F2F2" w:themeFill="background1" w:themeFillShade="F2"/>
          </w:tcPr>
          <w:p w14:paraId="7A558138" w14:textId="77777777" w:rsidR="00B5373C" w:rsidRPr="00454FF1" w:rsidRDefault="00B5373C" w:rsidP="00B5373C">
            <w:pPr>
              <w:rPr>
                <w:rFonts w:cstheme="minorHAnsi"/>
                <w:b/>
              </w:rPr>
            </w:pPr>
            <w:r w:rsidRPr="00454FF1">
              <w:rPr>
                <w:rFonts w:cstheme="minorHAnsi"/>
                <w:b/>
              </w:rPr>
              <w:t>Suitable for:</w:t>
            </w:r>
          </w:p>
        </w:tc>
        <w:tc>
          <w:tcPr>
            <w:tcW w:w="6945" w:type="dxa"/>
          </w:tcPr>
          <w:p w14:paraId="18D473D8" w14:textId="77777777" w:rsidR="00B5373C" w:rsidRDefault="00B5373C" w:rsidP="00B5373C">
            <w:pPr>
              <w:rPr>
                <w:rFonts w:cstheme="minorHAnsi"/>
                <w:color w:val="000000"/>
              </w:rPr>
            </w:pPr>
            <w:r>
              <w:rPr>
                <w:rFonts w:cstheme="minorHAnsi"/>
                <w:color w:val="000000"/>
              </w:rPr>
              <w:t>Suitable for all students with excellent attention to detail, and an interest in acquired communication disorders.</w:t>
            </w:r>
          </w:p>
          <w:p w14:paraId="3674F40C" w14:textId="77777777" w:rsidR="00B5373C" w:rsidRPr="00454FF1" w:rsidRDefault="00B5373C" w:rsidP="00B5373C">
            <w:pPr>
              <w:rPr>
                <w:rFonts w:cstheme="minorHAnsi"/>
                <w:i/>
              </w:rPr>
            </w:pPr>
          </w:p>
        </w:tc>
      </w:tr>
      <w:tr w:rsidR="00B5373C" w:rsidRPr="00454FF1" w14:paraId="090A1DC5" w14:textId="77777777" w:rsidTr="00B5373C">
        <w:tc>
          <w:tcPr>
            <w:tcW w:w="1963" w:type="dxa"/>
            <w:shd w:val="clear" w:color="auto" w:fill="F2F2F2" w:themeFill="background1" w:themeFillShade="F2"/>
          </w:tcPr>
          <w:p w14:paraId="3F4D975E" w14:textId="77777777" w:rsidR="00B5373C" w:rsidRDefault="00B5373C" w:rsidP="00B5373C">
            <w:pPr>
              <w:rPr>
                <w:rFonts w:cstheme="minorHAnsi"/>
                <w:b/>
              </w:rPr>
            </w:pPr>
            <w:r>
              <w:rPr>
                <w:rFonts w:cstheme="minorHAnsi"/>
                <w:b/>
              </w:rPr>
              <w:t xml:space="preserve">Primary </w:t>
            </w:r>
            <w:r w:rsidRPr="00454FF1">
              <w:rPr>
                <w:rFonts w:cstheme="minorHAnsi"/>
                <w:b/>
              </w:rPr>
              <w:t>Supervisor:</w:t>
            </w:r>
          </w:p>
          <w:p w14:paraId="1EB4C645" w14:textId="77777777" w:rsidR="00B5373C" w:rsidRPr="00454FF1" w:rsidRDefault="00B5373C" w:rsidP="00B5373C">
            <w:pPr>
              <w:rPr>
                <w:rFonts w:cstheme="minorHAnsi"/>
                <w:b/>
              </w:rPr>
            </w:pPr>
          </w:p>
        </w:tc>
        <w:tc>
          <w:tcPr>
            <w:tcW w:w="6945" w:type="dxa"/>
          </w:tcPr>
          <w:p w14:paraId="58FD2A43" w14:textId="77777777" w:rsidR="00B5373C" w:rsidRPr="00941E04" w:rsidRDefault="00B5373C" w:rsidP="00B5373C">
            <w:pPr>
              <w:rPr>
                <w:rFonts w:cstheme="minorHAnsi"/>
              </w:rPr>
            </w:pPr>
            <w:r>
              <w:rPr>
                <w:rFonts w:cstheme="minorHAnsi"/>
              </w:rPr>
              <w:t>A/Prof Stephen Wilson</w:t>
            </w:r>
          </w:p>
          <w:p w14:paraId="2C13A768" w14:textId="77777777" w:rsidR="00B5373C" w:rsidRPr="00454FF1" w:rsidRDefault="00B5373C" w:rsidP="00B5373C">
            <w:pPr>
              <w:rPr>
                <w:rFonts w:cstheme="minorHAnsi"/>
                <w:i/>
              </w:rPr>
            </w:pPr>
          </w:p>
        </w:tc>
      </w:tr>
      <w:tr w:rsidR="00B5373C" w:rsidRPr="00454FF1" w14:paraId="340D5928" w14:textId="77777777" w:rsidTr="00B5373C">
        <w:trPr>
          <w:trHeight w:val="446"/>
        </w:trPr>
        <w:tc>
          <w:tcPr>
            <w:tcW w:w="1963" w:type="dxa"/>
            <w:shd w:val="clear" w:color="auto" w:fill="F2F2F2" w:themeFill="background1" w:themeFillShade="F2"/>
          </w:tcPr>
          <w:p w14:paraId="6424D200" w14:textId="77777777" w:rsidR="00B5373C" w:rsidRPr="00454FF1" w:rsidRDefault="00B5373C" w:rsidP="00B5373C">
            <w:pPr>
              <w:rPr>
                <w:rFonts w:cstheme="minorHAnsi"/>
                <w:b/>
              </w:rPr>
            </w:pPr>
            <w:r>
              <w:rPr>
                <w:rFonts w:cstheme="minorHAnsi"/>
                <w:b/>
              </w:rPr>
              <w:t>Further info:</w:t>
            </w:r>
          </w:p>
        </w:tc>
        <w:tc>
          <w:tcPr>
            <w:tcW w:w="6945" w:type="dxa"/>
          </w:tcPr>
          <w:p w14:paraId="57BE2138" w14:textId="761D03CD" w:rsidR="00B5373C" w:rsidRPr="00941E04" w:rsidRDefault="00B5373C" w:rsidP="00B5373C">
            <w:pPr>
              <w:rPr>
                <w:rFonts w:cstheme="minorHAnsi"/>
              </w:rPr>
            </w:pPr>
            <w:r>
              <w:rPr>
                <w:rFonts w:cstheme="minorHAnsi"/>
              </w:rPr>
              <w:t>Applicants are welcome to contact the supervisor at smwilson@uq.edu.au if they have any questions, but this is not a requirement.</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38940" w14:textId="77777777" w:rsidR="007919CC" w:rsidRDefault="007919CC" w:rsidP="00D00E60">
      <w:r>
        <w:separator/>
      </w:r>
    </w:p>
  </w:endnote>
  <w:endnote w:type="continuationSeparator" w:id="0">
    <w:p w14:paraId="2CD8A1B7" w14:textId="77777777" w:rsidR="007919CC" w:rsidRDefault="007919CC"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96E79" w14:textId="77777777" w:rsidR="007919CC" w:rsidRDefault="007919CC" w:rsidP="00D00E60">
      <w:r>
        <w:separator/>
      </w:r>
    </w:p>
  </w:footnote>
  <w:footnote w:type="continuationSeparator" w:id="0">
    <w:p w14:paraId="334E0DCF" w14:textId="77777777" w:rsidR="007919CC" w:rsidRDefault="007919CC"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C6E7B"/>
    <w:rsid w:val="001C1584"/>
    <w:rsid w:val="002B5ABA"/>
    <w:rsid w:val="002E11DF"/>
    <w:rsid w:val="00332027"/>
    <w:rsid w:val="003570F0"/>
    <w:rsid w:val="004175CE"/>
    <w:rsid w:val="00454FF1"/>
    <w:rsid w:val="004C1625"/>
    <w:rsid w:val="00502FC5"/>
    <w:rsid w:val="00511802"/>
    <w:rsid w:val="005646D9"/>
    <w:rsid w:val="00572429"/>
    <w:rsid w:val="00625C76"/>
    <w:rsid w:val="00675329"/>
    <w:rsid w:val="00715346"/>
    <w:rsid w:val="007773C9"/>
    <w:rsid w:val="007919CC"/>
    <w:rsid w:val="00875917"/>
    <w:rsid w:val="008D1CC0"/>
    <w:rsid w:val="00922FF4"/>
    <w:rsid w:val="00941E04"/>
    <w:rsid w:val="009F1503"/>
    <w:rsid w:val="00A54AF7"/>
    <w:rsid w:val="00A76B9C"/>
    <w:rsid w:val="00A85667"/>
    <w:rsid w:val="00B5373C"/>
    <w:rsid w:val="00BA289F"/>
    <w:rsid w:val="00C16A3E"/>
    <w:rsid w:val="00C20DAA"/>
    <w:rsid w:val="00C736FA"/>
    <w:rsid w:val="00C85A67"/>
    <w:rsid w:val="00D00E60"/>
    <w:rsid w:val="00D41190"/>
    <w:rsid w:val="00D61347"/>
    <w:rsid w:val="00F37D30"/>
    <w:rsid w:val="00F936B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16</cp:revision>
  <dcterms:created xsi:type="dcterms:W3CDTF">2017-06-15T03:08:00Z</dcterms:created>
  <dcterms:modified xsi:type="dcterms:W3CDTF">2025-02-04T03:37:00Z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