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2297"/>
        <w:gridCol w:w="6611"/>
      </w:tblGrid>
      <w:tr w:rsidR="00D61347" w:rsidRPr="00454FF1" w14:paraId="144F970C" w14:textId="77777777" w:rsidTr="00B4687E">
        <w:tc>
          <w:tcPr>
            <w:tcW w:w="2297"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611" w:type="dxa"/>
          </w:tcPr>
          <w:p w14:paraId="2ADA5084" w14:textId="5AA430C0" w:rsidR="00D61347" w:rsidRPr="00454FF1" w:rsidRDefault="00B4687E">
            <w:pPr>
              <w:rPr>
                <w:rFonts w:cstheme="minorHAnsi"/>
                <w:b/>
              </w:rPr>
            </w:pPr>
            <w:r>
              <w:rPr>
                <w:rFonts w:cstheme="minorHAnsi"/>
                <w:bCs/>
              </w:rPr>
              <w:t>An investigation into the pr</w:t>
            </w:r>
            <w:r w:rsidR="000141FE">
              <w:rPr>
                <w:rFonts w:cstheme="minorHAnsi"/>
                <w:bCs/>
              </w:rPr>
              <w:t xml:space="preserve">ovision of allied health </w:t>
            </w:r>
            <w:r>
              <w:rPr>
                <w:rFonts w:cstheme="minorHAnsi"/>
                <w:bCs/>
              </w:rPr>
              <w:t>support for people living with endometriosis.</w:t>
            </w:r>
          </w:p>
        </w:tc>
      </w:tr>
      <w:tr w:rsidR="00FA2569" w:rsidRPr="00454FF1" w14:paraId="498DFC9A" w14:textId="77777777" w:rsidTr="00B4687E">
        <w:tc>
          <w:tcPr>
            <w:tcW w:w="2297"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6611" w:type="dxa"/>
          </w:tcPr>
          <w:p w14:paraId="6FAAE908" w14:textId="77777777" w:rsidR="000141FE" w:rsidRDefault="000141FE" w:rsidP="00922FF4">
            <w:pPr>
              <w:rPr>
                <w:rFonts w:cstheme="minorHAnsi"/>
              </w:rPr>
            </w:pPr>
            <w:r>
              <w:rPr>
                <w:rFonts w:cstheme="minorHAnsi"/>
              </w:rPr>
              <w:t xml:space="preserve">Duration: 4 weeks </w:t>
            </w:r>
          </w:p>
          <w:p w14:paraId="65B7CBD5" w14:textId="536FFA14" w:rsidR="000141FE" w:rsidRDefault="000141FE" w:rsidP="00922FF4">
            <w:pPr>
              <w:rPr>
                <w:rFonts w:cstheme="minorHAnsi"/>
              </w:rPr>
            </w:pPr>
            <w:r>
              <w:rPr>
                <w:rFonts w:cstheme="minorHAnsi"/>
              </w:rPr>
              <w:t>Hours of engagement: 30 hours per week</w:t>
            </w:r>
          </w:p>
          <w:p w14:paraId="54E0A7B0" w14:textId="08B9BD2B" w:rsidR="00FA2569" w:rsidRPr="000141FE" w:rsidRDefault="000141FE" w:rsidP="000141FE">
            <w:pPr>
              <w:rPr>
                <w:rFonts w:cstheme="minorHAnsi"/>
              </w:rPr>
            </w:pPr>
            <w:r>
              <w:rPr>
                <w:rFonts w:cstheme="minorHAnsi"/>
              </w:rPr>
              <w:t>Delivery mode: Hybrid arrangement</w:t>
            </w:r>
            <w:r w:rsidR="00682BFA">
              <w:rPr>
                <w:rFonts w:cstheme="minorHAnsi"/>
              </w:rPr>
              <w:br/>
              <w:t>*</w:t>
            </w:r>
            <w:r>
              <w:rPr>
                <w:rFonts w:cstheme="minorHAnsi"/>
              </w:rPr>
              <w:t>Students will be able to complete some of the work in person and some remotely.</w:t>
            </w:r>
            <w:r w:rsidR="004F4741">
              <w:rPr>
                <w:rFonts w:cstheme="minorHAnsi"/>
              </w:rPr>
              <w:t xml:space="preserve"> It is expected that students attend the initial training and </w:t>
            </w:r>
            <w:r>
              <w:rPr>
                <w:rFonts w:cstheme="minorHAnsi"/>
              </w:rPr>
              <w:t xml:space="preserve">regular </w:t>
            </w:r>
            <w:r w:rsidR="004F4741">
              <w:rPr>
                <w:rFonts w:cstheme="minorHAnsi"/>
              </w:rPr>
              <w:t>meetings in-person.</w:t>
            </w:r>
            <w:r>
              <w:rPr>
                <w:rFonts w:cstheme="minorHAnsi"/>
              </w:rPr>
              <w:t xml:space="preserve"> </w:t>
            </w:r>
            <w:r w:rsidR="00682BFA">
              <w:rPr>
                <w:rFonts w:cstheme="minorHAnsi"/>
              </w:rPr>
              <w:t xml:space="preserve">This project will take place on UQ St Lucia campus. </w:t>
            </w:r>
          </w:p>
        </w:tc>
      </w:tr>
      <w:tr w:rsidR="00FA2569" w:rsidRPr="00454FF1" w14:paraId="77B9C0CB" w14:textId="77777777" w:rsidTr="00B4687E">
        <w:tc>
          <w:tcPr>
            <w:tcW w:w="2297"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6611" w:type="dxa"/>
          </w:tcPr>
          <w:p w14:paraId="0BE28DCF" w14:textId="02D29FBA" w:rsidR="000141FE" w:rsidRDefault="000141FE" w:rsidP="000141FE">
            <w:pPr>
              <w:rPr>
                <w:rFonts w:cstheme="minorHAnsi"/>
              </w:rPr>
            </w:pPr>
            <w:r>
              <w:rPr>
                <w:rFonts w:cstheme="minorHAnsi"/>
              </w:rPr>
              <w:t xml:space="preserve">Endometriosis is a disabling condition where endometrial like tissue may be found throughout a person’s entire body </w:t>
            </w:r>
            <w:r>
              <w:rPr>
                <w:rFonts w:cstheme="minorHAnsi"/>
                <w:noProof/>
              </w:rPr>
              <w:t>(Ye et al., 2022)</w:t>
            </w:r>
            <w:r>
              <w:rPr>
                <w:rFonts w:cstheme="minorHAnsi"/>
              </w:rPr>
              <w:t xml:space="preserve">. Although commonly found in abdominal and thoracic regions, endometriosis has also been found in the brain, lumbar vertebra, conus medullaris, peripheral nerves, and nasal regions. This abnormal tissue growth can lead to numerous issues such as chronic pain, fatigue, mental illness, and infertility </w:t>
            </w:r>
            <w:r>
              <w:rPr>
                <w:rFonts w:cstheme="minorHAnsi"/>
                <w:noProof/>
              </w:rPr>
              <w:t>(Oral, 2022)</w:t>
            </w:r>
            <w:r>
              <w:rPr>
                <w:rFonts w:cstheme="minorHAnsi"/>
              </w:rPr>
              <w:t xml:space="preserve">, significantly impacting on an individual’s ability to participate in their daily activities </w:t>
            </w:r>
            <w:r>
              <w:rPr>
                <w:rFonts w:cstheme="minorHAnsi"/>
                <w:noProof/>
              </w:rPr>
              <w:t>(Lozano-Lozano et al., 2021)</w:t>
            </w:r>
            <w:r>
              <w:rPr>
                <w:rFonts w:cstheme="minorHAnsi"/>
              </w:rPr>
              <w:t xml:space="preserve">. Globally it is estimated to affect 190 million individuals born with female sex characteristics </w:t>
            </w:r>
            <w:r>
              <w:rPr>
                <w:rFonts w:cstheme="minorHAnsi"/>
                <w:noProof/>
              </w:rPr>
              <w:t>(Oral, 2022)</w:t>
            </w:r>
            <w:r>
              <w:rPr>
                <w:rFonts w:cstheme="minorHAnsi"/>
              </w:rPr>
              <w:t xml:space="preserve">. Individual economic burden is also significant, with a recent survey indicating it costs $20,898 AUD per person per year </w:t>
            </w:r>
            <w:r>
              <w:rPr>
                <w:rFonts w:cstheme="minorHAnsi"/>
                <w:noProof/>
              </w:rPr>
              <w:t>(Armour et al., 2019)</w:t>
            </w:r>
            <w:r>
              <w:rPr>
                <w:rFonts w:cstheme="minorHAnsi"/>
              </w:rPr>
              <w:t>.</w:t>
            </w:r>
          </w:p>
          <w:p w14:paraId="65465E49" w14:textId="77777777" w:rsidR="00B4687E" w:rsidRDefault="00B4687E" w:rsidP="000141FE">
            <w:pPr>
              <w:rPr>
                <w:rFonts w:cstheme="minorHAnsi"/>
              </w:rPr>
            </w:pPr>
          </w:p>
          <w:p w14:paraId="18CA8F46" w14:textId="70DE7C09" w:rsidR="00FA2569" w:rsidRDefault="000141FE" w:rsidP="00B4687E">
            <w:pPr>
              <w:ind w:left="33"/>
              <w:rPr>
                <w:rFonts w:cstheme="minorHAnsi"/>
              </w:rPr>
            </w:pPr>
            <w:r>
              <w:rPr>
                <w:rFonts w:cstheme="minorHAnsi"/>
              </w:rPr>
              <w:t xml:space="preserve">Despite significant financial and overall costs on well-being, many gaps in research and practice remain. Much of the literature has focused on medical approaches, however, there has been more recent literature published indicating an important role for allied health professionals </w:t>
            </w:r>
            <w:r>
              <w:rPr>
                <w:rFonts w:cstheme="minorHAnsi"/>
                <w:noProof/>
              </w:rPr>
              <w:t>(Dempsey, 2022; Fang et al., 2023; Malik et al., 2022; Ugwumadu et al., 2017)</w:t>
            </w:r>
            <w:r>
              <w:rPr>
                <w:rFonts w:cstheme="minorHAnsi"/>
              </w:rPr>
              <w:t xml:space="preserve">, including scope for occupational therapists </w:t>
            </w:r>
            <w:r>
              <w:rPr>
                <w:rFonts w:cstheme="minorHAnsi"/>
                <w:noProof/>
              </w:rPr>
              <w:t>(Lozano-Lozano et al., 2021)</w:t>
            </w:r>
            <w:r>
              <w:rPr>
                <w:rFonts w:cstheme="minorHAnsi"/>
              </w:rPr>
              <w:t xml:space="preserve">. </w:t>
            </w:r>
            <w:r w:rsidR="00B4687E">
              <w:rPr>
                <w:rFonts w:cstheme="minorHAnsi"/>
              </w:rPr>
              <w:t xml:space="preserve">Despite the growing research which discusses the role of allied health professionals, </w:t>
            </w:r>
            <w:r>
              <w:rPr>
                <w:rFonts w:cstheme="minorHAnsi"/>
              </w:rPr>
              <w:t xml:space="preserve">many people experience this lifelong disabling condition with only limited support. </w:t>
            </w:r>
            <w:r w:rsidR="00047C70">
              <w:rPr>
                <w:rFonts w:cstheme="minorHAnsi"/>
              </w:rPr>
              <w:t>Critical</w:t>
            </w:r>
            <w:r w:rsidR="00B4687E">
              <w:rPr>
                <w:rFonts w:cstheme="minorHAnsi"/>
              </w:rPr>
              <w:t xml:space="preserve"> research is required which seeks to address this gap in research and practice. </w:t>
            </w:r>
          </w:p>
          <w:p w14:paraId="1A6CE985" w14:textId="77777777" w:rsidR="00B4687E" w:rsidRDefault="00B4687E" w:rsidP="000141FE">
            <w:pPr>
              <w:ind w:left="33" w:firstLine="425"/>
              <w:rPr>
                <w:rFonts w:cstheme="minorHAnsi"/>
              </w:rPr>
            </w:pPr>
          </w:p>
          <w:p w14:paraId="1F04017C" w14:textId="1C7A4FF7" w:rsidR="00B4687E" w:rsidRPr="000141FE" w:rsidRDefault="00047C70" w:rsidP="00047C70">
            <w:pPr>
              <w:ind w:left="38"/>
              <w:rPr>
                <w:rFonts w:cstheme="minorHAnsi"/>
              </w:rPr>
            </w:pPr>
            <w:r>
              <w:rPr>
                <w:rFonts w:cstheme="minorHAnsi"/>
              </w:rPr>
              <w:t>T</w:t>
            </w:r>
            <w:r w:rsidR="00B4687E">
              <w:rPr>
                <w:rFonts w:cstheme="minorHAnsi"/>
              </w:rPr>
              <w:t>h</w:t>
            </w:r>
            <w:r>
              <w:rPr>
                <w:rFonts w:cstheme="minorHAnsi"/>
              </w:rPr>
              <w:t>erefore th</w:t>
            </w:r>
            <w:r w:rsidR="00B4687E">
              <w:rPr>
                <w:rFonts w:cstheme="minorHAnsi"/>
              </w:rPr>
              <w:t xml:space="preserve">is research aims to understand </w:t>
            </w:r>
            <w:r>
              <w:rPr>
                <w:rFonts w:cstheme="minorHAnsi"/>
              </w:rPr>
              <w:t xml:space="preserve">what support people with endometriosis have received from allied health professionals, as well as what people with endometriosis suggest to improve support provision. </w:t>
            </w:r>
            <w:r w:rsidR="00B4687E">
              <w:rPr>
                <w:rFonts w:cstheme="minorHAnsi"/>
              </w:rPr>
              <w:t xml:space="preserve">The student </w:t>
            </w:r>
            <w:r>
              <w:rPr>
                <w:rFonts w:cstheme="minorHAnsi"/>
              </w:rPr>
              <w:t>may</w:t>
            </w:r>
            <w:r w:rsidR="00B4687E">
              <w:rPr>
                <w:rFonts w:cstheme="minorHAnsi"/>
              </w:rPr>
              <w:t xml:space="preserve"> be involved in</w:t>
            </w:r>
            <w:r>
              <w:rPr>
                <w:rFonts w:cstheme="minorHAnsi"/>
              </w:rPr>
              <w:t xml:space="preserve"> reviewing literature, some writing tasks,</w:t>
            </w:r>
            <w:r w:rsidR="00B4687E">
              <w:rPr>
                <w:rFonts w:cstheme="minorHAnsi"/>
              </w:rPr>
              <w:t xml:space="preserve"> article screening processes, </w:t>
            </w:r>
            <w:r>
              <w:rPr>
                <w:rFonts w:cstheme="minorHAnsi"/>
              </w:rPr>
              <w:t xml:space="preserve">and </w:t>
            </w:r>
            <w:r w:rsidR="00B4687E">
              <w:rPr>
                <w:rFonts w:cstheme="minorHAnsi"/>
              </w:rPr>
              <w:t>c</w:t>
            </w:r>
            <w:r w:rsidR="00B4687E">
              <w:rPr>
                <w:rFonts w:cstheme="minorHAnsi"/>
                <w:color w:val="000000"/>
              </w:rPr>
              <w:t>ontributing to data analysis</w:t>
            </w:r>
            <w:r>
              <w:rPr>
                <w:rFonts w:cstheme="minorHAnsi"/>
                <w:color w:val="000000"/>
              </w:rPr>
              <w:t>.</w:t>
            </w:r>
          </w:p>
        </w:tc>
      </w:tr>
      <w:tr w:rsidR="00045D2C" w:rsidRPr="00454FF1" w14:paraId="08D1F94C" w14:textId="77777777" w:rsidTr="00B4687E">
        <w:trPr>
          <w:trHeight w:val="1028"/>
        </w:trPr>
        <w:tc>
          <w:tcPr>
            <w:tcW w:w="2297" w:type="dxa"/>
            <w:shd w:val="clear" w:color="auto" w:fill="F2F2F2" w:themeFill="background1" w:themeFillShade="F2"/>
          </w:tcPr>
          <w:p w14:paraId="2C262847" w14:textId="0CFB9163" w:rsidR="00045D2C" w:rsidRPr="00454FF1" w:rsidRDefault="00045D2C" w:rsidP="00045D2C">
            <w:pPr>
              <w:rPr>
                <w:rFonts w:cstheme="minorHAnsi"/>
                <w:b/>
              </w:rPr>
            </w:pPr>
            <w:r>
              <w:rPr>
                <w:rFonts w:cstheme="minorHAnsi"/>
                <w:b/>
              </w:rPr>
              <w:t>Expected learning outcomes and deliverables:</w:t>
            </w:r>
          </w:p>
        </w:tc>
        <w:tc>
          <w:tcPr>
            <w:tcW w:w="6611" w:type="dxa"/>
          </w:tcPr>
          <w:p w14:paraId="08DC5C6A" w14:textId="50B4089D" w:rsidR="00045D2C" w:rsidRPr="00B4687E" w:rsidRDefault="00045D2C" w:rsidP="00045D2C">
            <w:pPr>
              <w:rPr>
                <w:rFonts w:cstheme="minorHAnsi"/>
                <w:color w:val="000000"/>
              </w:rPr>
            </w:pPr>
            <w:r>
              <w:rPr>
                <w:rFonts w:cstheme="minorHAnsi"/>
                <w:color w:val="000000"/>
              </w:rPr>
              <w:t xml:space="preserve">You will gain skills in at least one or more of the following: </w:t>
            </w:r>
            <w:r w:rsidR="00B4687E">
              <w:rPr>
                <w:rFonts w:cstheme="minorHAnsi"/>
                <w:color w:val="000000"/>
              </w:rPr>
              <w:t xml:space="preserve">reviewing literature, </w:t>
            </w:r>
            <w:r>
              <w:rPr>
                <w:rFonts w:cstheme="minorHAnsi"/>
                <w:color w:val="000000"/>
              </w:rPr>
              <w:t>data collection</w:t>
            </w:r>
            <w:r w:rsidR="00047C70">
              <w:rPr>
                <w:rFonts w:cstheme="minorHAnsi"/>
                <w:color w:val="000000"/>
              </w:rPr>
              <w:t>, data</w:t>
            </w:r>
            <w:r w:rsidR="00B4687E">
              <w:rPr>
                <w:rFonts w:cstheme="minorHAnsi"/>
                <w:color w:val="000000"/>
              </w:rPr>
              <w:t xml:space="preserve"> management,</w:t>
            </w:r>
            <w:r>
              <w:rPr>
                <w:rFonts w:cstheme="minorHAnsi"/>
                <w:color w:val="000000"/>
              </w:rPr>
              <w:t xml:space="preserve"> qualitative data analysis, </w:t>
            </w:r>
            <w:r w:rsidR="00B4687E">
              <w:rPr>
                <w:rFonts w:cstheme="minorHAnsi"/>
                <w:color w:val="000000"/>
              </w:rPr>
              <w:t xml:space="preserve">and </w:t>
            </w:r>
            <w:r>
              <w:rPr>
                <w:rFonts w:cstheme="minorHAnsi"/>
                <w:color w:val="000000"/>
              </w:rPr>
              <w:t>academic writing skills</w:t>
            </w:r>
            <w:r w:rsidR="00B4687E">
              <w:rPr>
                <w:rFonts w:cstheme="minorHAnsi"/>
                <w:color w:val="000000"/>
              </w:rPr>
              <w:t>. There will also be the</w:t>
            </w:r>
            <w:r>
              <w:rPr>
                <w:rFonts w:cstheme="minorHAnsi"/>
                <w:color w:val="000000"/>
              </w:rPr>
              <w:t xml:space="preserve"> potential to be involved in a publication from the research project. </w:t>
            </w:r>
          </w:p>
        </w:tc>
      </w:tr>
      <w:tr w:rsidR="00045D2C" w:rsidRPr="00454FF1" w14:paraId="3FC33824" w14:textId="77777777" w:rsidTr="00B4687E">
        <w:trPr>
          <w:trHeight w:val="1676"/>
        </w:trPr>
        <w:tc>
          <w:tcPr>
            <w:tcW w:w="2297" w:type="dxa"/>
            <w:shd w:val="clear" w:color="auto" w:fill="F2F2F2" w:themeFill="background1" w:themeFillShade="F2"/>
          </w:tcPr>
          <w:p w14:paraId="7A558138" w14:textId="77777777" w:rsidR="00045D2C" w:rsidRPr="00454FF1" w:rsidRDefault="00045D2C" w:rsidP="00045D2C">
            <w:pPr>
              <w:rPr>
                <w:rFonts w:cstheme="minorHAnsi"/>
                <w:b/>
              </w:rPr>
            </w:pPr>
            <w:r w:rsidRPr="00454FF1">
              <w:rPr>
                <w:rFonts w:cstheme="minorHAnsi"/>
                <w:b/>
              </w:rPr>
              <w:lastRenderedPageBreak/>
              <w:t>Suitable for:</w:t>
            </w:r>
          </w:p>
        </w:tc>
        <w:tc>
          <w:tcPr>
            <w:tcW w:w="6611" w:type="dxa"/>
          </w:tcPr>
          <w:p w14:paraId="3674F40C" w14:textId="5487891B" w:rsidR="00045D2C" w:rsidRPr="000141FE" w:rsidRDefault="00045D2C" w:rsidP="00045D2C">
            <w:pPr>
              <w:rPr>
                <w:rFonts w:cstheme="minorHAnsi"/>
                <w:color w:val="000000"/>
              </w:rPr>
            </w:pPr>
            <w:r>
              <w:rPr>
                <w:rFonts w:cstheme="minorHAnsi"/>
                <w:color w:val="000000"/>
              </w:rPr>
              <w:t xml:space="preserve">We are seeking a highly motivated applicant with excellent organisational skills, a proactive </w:t>
            </w:r>
            <w:r w:rsidRPr="0021201C">
              <w:rPr>
                <w:rFonts w:cstheme="minorHAnsi"/>
                <w:color w:val="000000"/>
              </w:rPr>
              <w:t xml:space="preserve">approach, an </w:t>
            </w:r>
            <w:r>
              <w:rPr>
                <w:rFonts w:cstheme="minorHAnsi"/>
                <w:color w:val="000000"/>
              </w:rPr>
              <w:t>interest in women’s health issues, attention to detail,</w:t>
            </w:r>
            <w:r w:rsidRPr="0021201C">
              <w:rPr>
                <w:rFonts w:cstheme="minorHAnsi"/>
                <w:color w:val="000000"/>
              </w:rPr>
              <w:t xml:space="preserve"> and excellent written communication. </w:t>
            </w:r>
            <w:r>
              <w:rPr>
                <w:rFonts w:cstheme="minorHAnsi"/>
                <w:color w:val="000000"/>
              </w:rPr>
              <w:t>Additionally, s</w:t>
            </w:r>
            <w:r w:rsidRPr="0021201C">
              <w:rPr>
                <w:rFonts w:cstheme="minorHAnsi"/>
                <w:color w:val="000000"/>
              </w:rPr>
              <w:t xml:space="preserve">tudents </w:t>
            </w:r>
            <w:r>
              <w:rPr>
                <w:rFonts w:cstheme="minorHAnsi"/>
                <w:color w:val="000000"/>
              </w:rPr>
              <w:t>will</w:t>
            </w:r>
            <w:r w:rsidR="00682BFA">
              <w:rPr>
                <w:rFonts w:cstheme="minorHAnsi"/>
                <w:color w:val="000000"/>
              </w:rPr>
              <w:t xml:space="preserve"> be enrolled in an allied health degree (e.g., occupational therapy, physiotherapy, psychology), and will </w:t>
            </w:r>
            <w:r>
              <w:rPr>
                <w:rFonts w:cstheme="minorHAnsi"/>
                <w:color w:val="000000"/>
              </w:rPr>
              <w:t xml:space="preserve">have completed at least </w:t>
            </w:r>
            <w:r w:rsidRPr="0021201C">
              <w:rPr>
                <w:rFonts w:cstheme="minorHAnsi"/>
                <w:color w:val="000000"/>
              </w:rPr>
              <w:t>two (2) or more years of study including one (1) or more re</w:t>
            </w:r>
            <w:r w:rsidRPr="006030F7">
              <w:rPr>
                <w:rFonts w:cstheme="minorHAnsi"/>
                <w:color w:val="000000"/>
              </w:rPr>
              <w:t>search focused courses (e.g., research methodology).</w:t>
            </w:r>
            <w:r>
              <w:rPr>
                <w:rFonts w:cstheme="minorHAnsi"/>
                <w:color w:val="000000"/>
              </w:rPr>
              <w:t xml:space="preserve"> </w:t>
            </w:r>
          </w:p>
        </w:tc>
      </w:tr>
      <w:tr w:rsidR="00045D2C" w:rsidRPr="00454FF1" w14:paraId="090A1DC5" w14:textId="77777777" w:rsidTr="00B4687E">
        <w:tc>
          <w:tcPr>
            <w:tcW w:w="2297" w:type="dxa"/>
            <w:shd w:val="clear" w:color="auto" w:fill="F2F2F2" w:themeFill="background1" w:themeFillShade="F2"/>
          </w:tcPr>
          <w:p w14:paraId="1EB4C645" w14:textId="5269451A" w:rsidR="00045D2C" w:rsidRPr="00454FF1" w:rsidRDefault="00045D2C" w:rsidP="00045D2C">
            <w:pPr>
              <w:rPr>
                <w:rFonts w:cstheme="minorHAnsi"/>
                <w:b/>
              </w:rPr>
            </w:pPr>
            <w:r>
              <w:rPr>
                <w:rFonts w:cstheme="minorHAnsi"/>
                <w:b/>
              </w:rPr>
              <w:t xml:space="preserve">Primary </w:t>
            </w:r>
            <w:r w:rsidRPr="00454FF1">
              <w:rPr>
                <w:rFonts w:cstheme="minorHAnsi"/>
                <w:b/>
              </w:rPr>
              <w:t>Supervisor:</w:t>
            </w:r>
          </w:p>
        </w:tc>
        <w:tc>
          <w:tcPr>
            <w:tcW w:w="6611" w:type="dxa"/>
          </w:tcPr>
          <w:p w14:paraId="2C13A768" w14:textId="4FB06062" w:rsidR="00045D2C" w:rsidRPr="00B4687E" w:rsidRDefault="00045D2C" w:rsidP="00045D2C">
            <w:pPr>
              <w:rPr>
                <w:rFonts w:cstheme="minorHAnsi"/>
              </w:rPr>
            </w:pPr>
            <w:r>
              <w:rPr>
                <w:rFonts w:cstheme="minorHAnsi"/>
              </w:rPr>
              <w:t>Dr Chloe Bryant</w:t>
            </w:r>
          </w:p>
        </w:tc>
      </w:tr>
      <w:tr w:rsidR="00045D2C" w:rsidRPr="00454FF1" w14:paraId="340D5928" w14:textId="77777777" w:rsidTr="00B4687E">
        <w:trPr>
          <w:trHeight w:val="446"/>
        </w:trPr>
        <w:tc>
          <w:tcPr>
            <w:tcW w:w="2297" w:type="dxa"/>
            <w:shd w:val="clear" w:color="auto" w:fill="F2F2F2" w:themeFill="background1" w:themeFillShade="F2"/>
          </w:tcPr>
          <w:p w14:paraId="6424D200" w14:textId="77777777" w:rsidR="00045D2C" w:rsidRPr="00454FF1" w:rsidRDefault="00045D2C" w:rsidP="00045D2C">
            <w:pPr>
              <w:rPr>
                <w:rFonts w:cstheme="minorHAnsi"/>
                <w:b/>
              </w:rPr>
            </w:pPr>
            <w:r>
              <w:rPr>
                <w:rFonts w:cstheme="minorHAnsi"/>
                <w:b/>
              </w:rPr>
              <w:t>Further info:</w:t>
            </w:r>
          </w:p>
        </w:tc>
        <w:tc>
          <w:tcPr>
            <w:tcW w:w="6611" w:type="dxa"/>
          </w:tcPr>
          <w:p w14:paraId="57BE2138" w14:textId="26D6921B" w:rsidR="00045D2C" w:rsidRPr="00941E04" w:rsidRDefault="00682BFA" w:rsidP="00045D2C">
            <w:pPr>
              <w:rPr>
                <w:rFonts w:cstheme="minorHAnsi"/>
              </w:rPr>
            </w:pPr>
            <w:r>
              <w:rPr>
                <w:rFonts w:cstheme="minorHAnsi"/>
              </w:rPr>
              <w:t>If you would like further information, please contact Dr Chloe Bryant via email</w:t>
            </w:r>
            <w:r w:rsidR="00045D2C">
              <w:rPr>
                <w:rFonts w:cstheme="minorHAnsi"/>
              </w:rPr>
              <w:t xml:space="preserve">: </w:t>
            </w:r>
            <w:hyperlink r:id="rId7" w:history="1">
              <w:r w:rsidR="00045D2C" w:rsidRPr="00590B9D">
                <w:rPr>
                  <w:rStyle w:val="Hyperlink"/>
                  <w:rFonts w:cstheme="minorHAnsi"/>
                </w:rPr>
                <w:t>c</w:t>
              </w:r>
              <w:r w:rsidR="00045D2C" w:rsidRPr="00590B9D">
                <w:rPr>
                  <w:rStyle w:val="Hyperlink"/>
                </w:rPr>
                <w:t>hloe.bryant@uq.edu.au</w:t>
              </w:r>
            </w:hyperlink>
            <w:r w:rsidR="00045D2C">
              <w:rPr>
                <w:rStyle w:val="Hyperlink"/>
                <w:rFonts w:cstheme="minorHAnsi"/>
              </w:rPr>
              <w:t xml:space="preserve"> </w:t>
            </w:r>
          </w:p>
        </w:tc>
      </w:tr>
    </w:tbl>
    <w:p w14:paraId="7F221803" w14:textId="62DED328" w:rsidR="00A54AF7" w:rsidRDefault="00A54AF7"/>
    <w:p w14:paraId="28EB50B4" w14:textId="73594713" w:rsidR="00906512" w:rsidRPr="009A7F2D" w:rsidRDefault="00906512" w:rsidP="00906512">
      <w:pPr>
        <w:rPr>
          <w:rFonts w:cstheme="minorHAnsi"/>
          <w:bCs/>
          <w:u w:val="single"/>
        </w:rPr>
      </w:pPr>
      <w:r>
        <w:rPr>
          <w:rFonts w:cstheme="minorHAnsi"/>
          <w:bCs/>
          <w:u w:val="single"/>
        </w:rPr>
        <w:t>References:</w:t>
      </w:r>
    </w:p>
    <w:p w14:paraId="6683E0FB" w14:textId="77777777" w:rsidR="00906512" w:rsidRPr="00574764" w:rsidRDefault="00906512" w:rsidP="00906512">
      <w:pPr>
        <w:autoSpaceDE w:val="0"/>
        <w:autoSpaceDN w:val="0"/>
        <w:adjustRightInd w:val="0"/>
        <w:ind w:left="313" w:hanging="313"/>
        <w:rPr>
          <w:rFonts w:ascii="Calibri" w:hAnsi="Calibri" w:cs="Calibri"/>
          <w:sz w:val="23"/>
          <w:szCs w:val="23"/>
        </w:rPr>
      </w:pPr>
      <w:r w:rsidRPr="00574764">
        <w:rPr>
          <w:rFonts w:ascii="Calibri" w:hAnsi="Calibri" w:cs="Calibri"/>
          <w:sz w:val="23"/>
          <w:szCs w:val="23"/>
        </w:rPr>
        <w:t xml:space="preserve">Armour, M., Lawson, K., Wood, A., Smith, C. A., &amp; Abbott, J. (2019). The cost of illness and economic burden of endometriosis and chronic pelvic pain in Australia: A national online survey. </w:t>
      </w:r>
      <w:proofErr w:type="spellStart"/>
      <w:r w:rsidRPr="00574764">
        <w:rPr>
          <w:rFonts w:ascii="Calibri" w:hAnsi="Calibri" w:cs="Calibri"/>
          <w:i/>
          <w:iCs/>
          <w:sz w:val="23"/>
          <w:szCs w:val="23"/>
        </w:rPr>
        <w:t>PLoS</w:t>
      </w:r>
      <w:proofErr w:type="spellEnd"/>
      <w:r w:rsidRPr="00574764">
        <w:rPr>
          <w:rFonts w:ascii="Calibri" w:hAnsi="Calibri" w:cs="Calibri"/>
          <w:i/>
          <w:iCs/>
          <w:sz w:val="23"/>
          <w:szCs w:val="23"/>
        </w:rPr>
        <w:t xml:space="preserve"> One</w:t>
      </w:r>
      <w:r w:rsidRPr="00574764">
        <w:rPr>
          <w:rFonts w:ascii="Calibri" w:hAnsi="Calibri" w:cs="Calibri"/>
          <w:sz w:val="23"/>
          <w:szCs w:val="23"/>
        </w:rPr>
        <w:t>,</w:t>
      </w:r>
      <w:r w:rsidRPr="00574764">
        <w:rPr>
          <w:rFonts w:ascii="Calibri" w:hAnsi="Calibri" w:cs="Calibri"/>
          <w:i/>
          <w:iCs/>
          <w:sz w:val="23"/>
          <w:szCs w:val="23"/>
        </w:rPr>
        <w:t xml:space="preserve"> 14</w:t>
      </w:r>
      <w:r w:rsidRPr="00574764">
        <w:rPr>
          <w:rFonts w:ascii="Calibri" w:hAnsi="Calibri" w:cs="Calibri"/>
          <w:sz w:val="23"/>
          <w:szCs w:val="23"/>
        </w:rPr>
        <w:t xml:space="preserve">(10), e0223316-e0223316. Doi: 10.1371/journal.pone.0223316 </w:t>
      </w:r>
    </w:p>
    <w:p w14:paraId="6C5AE3FC" w14:textId="77777777" w:rsidR="00906512" w:rsidRPr="00574764" w:rsidRDefault="00906512" w:rsidP="00906512">
      <w:pPr>
        <w:autoSpaceDE w:val="0"/>
        <w:autoSpaceDN w:val="0"/>
        <w:adjustRightInd w:val="0"/>
        <w:ind w:left="313" w:hanging="313"/>
        <w:rPr>
          <w:rFonts w:ascii="Calibri" w:hAnsi="Calibri" w:cs="Calibri"/>
          <w:sz w:val="23"/>
          <w:szCs w:val="23"/>
        </w:rPr>
      </w:pPr>
      <w:r w:rsidRPr="00574764">
        <w:rPr>
          <w:rFonts w:ascii="Calibri" w:hAnsi="Calibri" w:cs="Calibri"/>
          <w:sz w:val="23"/>
          <w:szCs w:val="23"/>
        </w:rPr>
        <w:t xml:space="preserve">Dempsey, C. (2022). </w:t>
      </w:r>
      <w:r w:rsidRPr="00574764">
        <w:rPr>
          <w:rFonts w:ascii="Calibri" w:hAnsi="Calibri" w:cs="Calibri"/>
          <w:i/>
          <w:iCs/>
          <w:sz w:val="23"/>
          <w:szCs w:val="23"/>
        </w:rPr>
        <w:t xml:space="preserve">Development and Evaluation of an Online Mindfulness-Based Intervention for People Living with Endometriosis </w:t>
      </w:r>
      <w:proofErr w:type="spellStart"/>
      <w:r w:rsidRPr="00574764">
        <w:rPr>
          <w:rFonts w:ascii="Calibri" w:hAnsi="Calibri" w:cs="Calibri"/>
          <w:i/>
          <w:iCs/>
          <w:sz w:val="23"/>
          <w:szCs w:val="23"/>
        </w:rPr>
        <w:t>And/Or</w:t>
      </w:r>
      <w:proofErr w:type="spellEnd"/>
      <w:r w:rsidRPr="00574764">
        <w:rPr>
          <w:rFonts w:ascii="Calibri" w:hAnsi="Calibri" w:cs="Calibri"/>
          <w:i/>
          <w:iCs/>
          <w:sz w:val="23"/>
          <w:szCs w:val="23"/>
        </w:rPr>
        <w:t xml:space="preserve"> Adenomyosis</w:t>
      </w:r>
      <w:r w:rsidRPr="00574764">
        <w:rPr>
          <w:rFonts w:ascii="Calibri" w:hAnsi="Calibri" w:cs="Calibri"/>
          <w:sz w:val="23"/>
          <w:szCs w:val="23"/>
        </w:rPr>
        <w:t xml:space="preserve"> [Ph.D., Coventry University (United Kingdom)]. ProQuest Dissertations &amp; Theses Global. England. </w:t>
      </w:r>
    </w:p>
    <w:p w14:paraId="75E91C7A" w14:textId="77777777" w:rsidR="00906512" w:rsidRPr="00574764" w:rsidRDefault="00906512" w:rsidP="00906512">
      <w:pPr>
        <w:autoSpaceDE w:val="0"/>
        <w:autoSpaceDN w:val="0"/>
        <w:adjustRightInd w:val="0"/>
        <w:ind w:left="310" w:hanging="310"/>
        <w:rPr>
          <w:rFonts w:ascii="Calibri" w:hAnsi="Calibri" w:cs="Calibri"/>
          <w:sz w:val="23"/>
          <w:szCs w:val="23"/>
        </w:rPr>
      </w:pPr>
      <w:r w:rsidRPr="00574764">
        <w:rPr>
          <w:rFonts w:ascii="Calibri" w:hAnsi="Calibri" w:cs="Calibri"/>
          <w:sz w:val="23"/>
          <w:szCs w:val="23"/>
        </w:rPr>
        <w:t xml:space="preserve">Fang, Q. Y., Campbell, N., Mooney, S. S., Holdsworth-Carson, S. J., &amp; Tyson, K. (2023). Evidence for the role of multidisciplinary team care in people with pelvic pain and endometriosis: A systematic review. </w:t>
      </w:r>
      <w:r w:rsidRPr="00574764">
        <w:rPr>
          <w:rFonts w:ascii="Calibri" w:hAnsi="Calibri" w:cs="Calibri"/>
          <w:i/>
          <w:iCs/>
          <w:sz w:val="23"/>
          <w:szCs w:val="23"/>
        </w:rPr>
        <w:t>Australian &amp; New Zealand journal of obstetrics &amp; gynaecology</w:t>
      </w:r>
      <w:r w:rsidRPr="00574764">
        <w:rPr>
          <w:rFonts w:ascii="Calibri" w:hAnsi="Calibri" w:cs="Calibri"/>
          <w:sz w:val="23"/>
          <w:szCs w:val="23"/>
        </w:rPr>
        <w:t xml:space="preserve">. https://doi.org/10.1111/ajo.13755 </w:t>
      </w:r>
    </w:p>
    <w:p w14:paraId="287731BE" w14:textId="77777777" w:rsidR="00906512" w:rsidRPr="00574764" w:rsidRDefault="00906512" w:rsidP="00906512">
      <w:pPr>
        <w:autoSpaceDE w:val="0"/>
        <w:autoSpaceDN w:val="0"/>
        <w:adjustRightInd w:val="0"/>
        <w:ind w:left="310" w:hanging="310"/>
        <w:rPr>
          <w:rFonts w:ascii="Calibri" w:hAnsi="Calibri" w:cs="Calibri"/>
          <w:sz w:val="23"/>
          <w:szCs w:val="23"/>
        </w:rPr>
      </w:pPr>
      <w:r w:rsidRPr="00574764">
        <w:rPr>
          <w:rFonts w:ascii="Calibri" w:hAnsi="Calibri" w:cs="Calibri"/>
          <w:sz w:val="23"/>
          <w:szCs w:val="23"/>
        </w:rPr>
        <w:t xml:space="preserve">Lozano-Lozano, M., Mundo-López, A., San-Sebastian, A. P., Galiano-Castillo, N., Fernandez-Lao, C., Cantarero-Villanueva, I., Arroyo-Morales, M., </w:t>
      </w:r>
      <w:proofErr w:type="spellStart"/>
      <w:r w:rsidRPr="00574764">
        <w:rPr>
          <w:rFonts w:ascii="Calibri" w:hAnsi="Calibri" w:cs="Calibri"/>
          <w:sz w:val="23"/>
          <w:szCs w:val="23"/>
        </w:rPr>
        <w:t>Ocón</w:t>
      </w:r>
      <w:proofErr w:type="spellEnd"/>
      <w:r w:rsidRPr="00574764">
        <w:rPr>
          <w:rFonts w:ascii="Calibri" w:hAnsi="Calibri" w:cs="Calibri"/>
          <w:sz w:val="23"/>
          <w:szCs w:val="23"/>
        </w:rPr>
        <w:t xml:space="preserve">-Hernández, O., &amp; Artacho-Cordón, F. (2021). Limitations in Activities of Daily Living Among Spanish Women Diagnosed With Endometriosis. </w:t>
      </w:r>
      <w:r w:rsidRPr="00574764">
        <w:rPr>
          <w:rFonts w:ascii="Calibri" w:hAnsi="Calibri" w:cs="Calibri"/>
          <w:i/>
          <w:iCs/>
          <w:sz w:val="23"/>
          <w:szCs w:val="23"/>
        </w:rPr>
        <w:t>The American journal of occupational therapy</w:t>
      </w:r>
      <w:r w:rsidRPr="00574764">
        <w:rPr>
          <w:rFonts w:ascii="Calibri" w:hAnsi="Calibri" w:cs="Calibri"/>
          <w:sz w:val="23"/>
          <w:szCs w:val="23"/>
        </w:rPr>
        <w:t>,</w:t>
      </w:r>
      <w:r w:rsidRPr="00574764">
        <w:rPr>
          <w:rFonts w:ascii="Calibri" w:hAnsi="Calibri" w:cs="Calibri"/>
          <w:i/>
          <w:iCs/>
          <w:sz w:val="23"/>
          <w:szCs w:val="23"/>
        </w:rPr>
        <w:t xml:space="preserve"> 75</w:t>
      </w:r>
      <w:r w:rsidRPr="00574764">
        <w:rPr>
          <w:rFonts w:ascii="Calibri" w:hAnsi="Calibri" w:cs="Calibri"/>
          <w:sz w:val="23"/>
          <w:szCs w:val="23"/>
        </w:rPr>
        <w:t xml:space="preserve">(6). https://doi.org/10.5014/ajot.2021.044974 </w:t>
      </w:r>
    </w:p>
    <w:p w14:paraId="7FBC1931" w14:textId="77777777" w:rsidR="00906512" w:rsidRPr="00574764" w:rsidRDefault="00906512" w:rsidP="00906512">
      <w:pPr>
        <w:autoSpaceDE w:val="0"/>
        <w:autoSpaceDN w:val="0"/>
        <w:adjustRightInd w:val="0"/>
        <w:ind w:left="310" w:hanging="310"/>
        <w:rPr>
          <w:rFonts w:ascii="Calibri" w:hAnsi="Calibri" w:cs="Calibri"/>
          <w:sz w:val="23"/>
          <w:szCs w:val="23"/>
        </w:rPr>
      </w:pPr>
      <w:r w:rsidRPr="00574764">
        <w:rPr>
          <w:rFonts w:ascii="Calibri" w:hAnsi="Calibri" w:cs="Calibri"/>
          <w:sz w:val="23"/>
          <w:szCs w:val="23"/>
        </w:rPr>
        <w:t xml:space="preserve">Malik, A., Sinclair, J., Ng, C. H. M., Smith, C. A., Abbott, J., &amp; Armour, M. (2022). Allied health and complementary therapy usage in Australian women with chronic pelvic pain: a cross-sectional study. </w:t>
      </w:r>
      <w:r w:rsidRPr="00574764">
        <w:rPr>
          <w:rFonts w:ascii="Calibri" w:hAnsi="Calibri" w:cs="Calibri"/>
          <w:i/>
          <w:iCs/>
          <w:sz w:val="23"/>
          <w:szCs w:val="23"/>
        </w:rPr>
        <w:t>BMC Women's Health</w:t>
      </w:r>
      <w:r w:rsidRPr="00574764">
        <w:rPr>
          <w:rFonts w:ascii="Calibri" w:hAnsi="Calibri" w:cs="Calibri"/>
          <w:sz w:val="23"/>
          <w:szCs w:val="23"/>
        </w:rPr>
        <w:t>,</w:t>
      </w:r>
      <w:r w:rsidRPr="00574764">
        <w:rPr>
          <w:rFonts w:ascii="Calibri" w:hAnsi="Calibri" w:cs="Calibri"/>
          <w:i/>
          <w:iCs/>
          <w:sz w:val="23"/>
          <w:szCs w:val="23"/>
        </w:rPr>
        <w:t xml:space="preserve"> 22</w:t>
      </w:r>
      <w:r w:rsidRPr="00574764">
        <w:rPr>
          <w:rFonts w:ascii="Calibri" w:hAnsi="Calibri" w:cs="Calibri"/>
          <w:sz w:val="23"/>
          <w:szCs w:val="23"/>
        </w:rPr>
        <w:t xml:space="preserve">(1), 37. Doi: 10.1186/s12905-022-01618-z </w:t>
      </w:r>
    </w:p>
    <w:p w14:paraId="6E1F5E77" w14:textId="3B590AE7" w:rsidR="00906512" w:rsidRPr="00574764" w:rsidRDefault="00906512" w:rsidP="00906512">
      <w:pPr>
        <w:autoSpaceDE w:val="0"/>
        <w:autoSpaceDN w:val="0"/>
        <w:adjustRightInd w:val="0"/>
        <w:ind w:left="313" w:hanging="313"/>
        <w:rPr>
          <w:rFonts w:ascii="Calibri" w:hAnsi="Calibri" w:cs="Calibri"/>
          <w:sz w:val="23"/>
          <w:szCs w:val="23"/>
        </w:rPr>
      </w:pPr>
      <w:r w:rsidRPr="00574764">
        <w:rPr>
          <w:rFonts w:ascii="Calibri" w:hAnsi="Calibri" w:cs="Calibri"/>
          <w:sz w:val="23"/>
          <w:szCs w:val="23"/>
        </w:rPr>
        <w:t xml:space="preserve">Oral, E. (2022). </w:t>
      </w:r>
      <w:r w:rsidRPr="00574764">
        <w:rPr>
          <w:rFonts w:ascii="Calibri" w:hAnsi="Calibri" w:cs="Calibri"/>
          <w:i/>
          <w:iCs/>
          <w:sz w:val="23"/>
          <w:szCs w:val="23"/>
        </w:rPr>
        <w:t xml:space="preserve">Endometriosis and </w:t>
      </w:r>
      <w:r w:rsidRPr="00574764">
        <w:rPr>
          <w:rFonts w:ascii="Calibri" w:hAnsi="Calibri" w:cs="Calibri"/>
          <w:i/>
          <w:iCs/>
          <w:sz w:val="23"/>
          <w:szCs w:val="23"/>
        </w:rPr>
        <w:t>adenomyosis:</w:t>
      </w:r>
      <w:r w:rsidRPr="00574764">
        <w:rPr>
          <w:rFonts w:ascii="Calibri" w:hAnsi="Calibri" w:cs="Calibri"/>
          <w:i/>
          <w:iCs/>
          <w:sz w:val="23"/>
          <w:szCs w:val="23"/>
        </w:rPr>
        <w:t xml:space="preserve"> global perspectives across the lifespan</w:t>
      </w:r>
      <w:r w:rsidRPr="00574764">
        <w:rPr>
          <w:rFonts w:ascii="Calibri" w:hAnsi="Calibri" w:cs="Calibri"/>
          <w:sz w:val="23"/>
          <w:szCs w:val="23"/>
        </w:rPr>
        <w:t xml:space="preserve">. Springer. </w:t>
      </w:r>
    </w:p>
    <w:p w14:paraId="476080D1" w14:textId="77777777" w:rsidR="00906512" w:rsidRPr="00574764" w:rsidRDefault="00906512" w:rsidP="00906512">
      <w:pPr>
        <w:autoSpaceDE w:val="0"/>
        <w:autoSpaceDN w:val="0"/>
        <w:adjustRightInd w:val="0"/>
        <w:ind w:left="310" w:hanging="310"/>
        <w:rPr>
          <w:rFonts w:ascii="Calibri" w:hAnsi="Calibri" w:cs="Calibri"/>
          <w:sz w:val="23"/>
          <w:szCs w:val="23"/>
        </w:rPr>
      </w:pPr>
      <w:proofErr w:type="spellStart"/>
      <w:r w:rsidRPr="00574764">
        <w:rPr>
          <w:rFonts w:ascii="Calibri" w:hAnsi="Calibri" w:cs="Calibri"/>
          <w:sz w:val="23"/>
          <w:szCs w:val="23"/>
        </w:rPr>
        <w:t>Ugwumadu</w:t>
      </w:r>
      <w:proofErr w:type="spellEnd"/>
      <w:r w:rsidRPr="00574764">
        <w:rPr>
          <w:rFonts w:ascii="Calibri" w:hAnsi="Calibri" w:cs="Calibri"/>
          <w:sz w:val="23"/>
          <w:szCs w:val="23"/>
        </w:rPr>
        <w:t xml:space="preserve">, L., Chakrabarti, R., Williams-Brown, E., Rendle, J., Swift, I., John, B., Allen-Coward, H., &amp; </w:t>
      </w:r>
      <w:proofErr w:type="spellStart"/>
      <w:r w:rsidRPr="00574764">
        <w:rPr>
          <w:rFonts w:ascii="Calibri" w:hAnsi="Calibri" w:cs="Calibri"/>
          <w:sz w:val="23"/>
          <w:szCs w:val="23"/>
        </w:rPr>
        <w:t>Ofuasia</w:t>
      </w:r>
      <w:proofErr w:type="spellEnd"/>
      <w:r w:rsidRPr="00574764">
        <w:rPr>
          <w:rFonts w:ascii="Calibri" w:hAnsi="Calibri" w:cs="Calibri"/>
          <w:sz w:val="23"/>
          <w:szCs w:val="23"/>
        </w:rPr>
        <w:t xml:space="preserve">, E. (2017). The role of the multidisciplinary team in the management of deep infiltrating endometriosis. </w:t>
      </w:r>
      <w:proofErr w:type="spellStart"/>
      <w:r w:rsidRPr="00574764">
        <w:rPr>
          <w:rFonts w:ascii="Calibri" w:hAnsi="Calibri" w:cs="Calibri"/>
          <w:i/>
          <w:iCs/>
          <w:sz w:val="23"/>
          <w:szCs w:val="23"/>
        </w:rPr>
        <w:t>Gynecological</w:t>
      </w:r>
      <w:proofErr w:type="spellEnd"/>
      <w:r w:rsidRPr="00574764">
        <w:rPr>
          <w:rFonts w:ascii="Calibri" w:hAnsi="Calibri" w:cs="Calibri"/>
          <w:i/>
          <w:iCs/>
          <w:sz w:val="23"/>
          <w:szCs w:val="23"/>
        </w:rPr>
        <w:t xml:space="preserve"> Surgery</w:t>
      </w:r>
      <w:r w:rsidRPr="00574764">
        <w:rPr>
          <w:rFonts w:ascii="Calibri" w:hAnsi="Calibri" w:cs="Calibri"/>
          <w:sz w:val="23"/>
          <w:szCs w:val="23"/>
        </w:rPr>
        <w:t>,</w:t>
      </w:r>
      <w:r w:rsidRPr="00574764">
        <w:rPr>
          <w:rFonts w:ascii="Calibri" w:hAnsi="Calibri" w:cs="Calibri"/>
          <w:i/>
          <w:iCs/>
          <w:sz w:val="23"/>
          <w:szCs w:val="23"/>
        </w:rPr>
        <w:t xml:space="preserve"> 14</w:t>
      </w:r>
      <w:r w:rsidRPr="00574764">
        <w:rPr>
          <w:rFonts w:ascii="Calibri" w:hAnsi="Calibri" w:cs="Calibri"/>
          <w:sz w:val="23"/>
          <w:szCs w:val="23"/>
        </w:rPr>
        <w:t xml:space="preserve">(1), 15. </w:t>
      </w:r>
    </w:p>
    <w:p w14:paraId="19578D62" w14:textId="51273806" w:rsidR="00906512" w:rsidRDefault="00906512" w:rsidP="00906512">
      <w:r w:rsidRPr="00574764">
        <w:rPr>
          <w:rFonts w:ascii="Calibri" w:hAnsi="Calibri" w:cs="Calibri"/>
          <w:sz w:val="23"/>
          <w:szCs w:val="23"/>
        </w:rPr>
        <w:t xml:space="preserve">Ye, L., Whitaker, L. H. R., Mawson, R. L., &amp; Hickey, M. (2022). Endometriosis. </w:t>
      </w:r>
      <w:r w:rsidRPr="00574764">
        <w:rPr>
          <w:rFonts w:ascii="Calibri" w:hAnsi="Calibri" w:cs="Calibri"/>
          <w:i/>
          <w:iCs/>
          <w:sz w:val="23"/>
          <w:szCs w:val="23"/>
        </w:rPr>
        <w:t>BMJ : British Medical Journal (Online)</w:t>
      </w:r>
      <w:r w:rsidRPr="00574764">
        <w:rPr>
          <w:rFonts w:ascii="Calibri" w:hAnsi="Calibri" w:cs="Calibri"/>
          <w:sz w:val="23"/>
          <w:szCs w:val="23"/>
        </w:rPr>
        <w:t>,</w:t>
      </w:r>
      <w:r w:rsidRPr="00574764">
        <w:rPr>
          <w:rFonts w:ascii="Calibri" w:hAnsi="Calibri" w:cs="Calibri"/>
          <w:i/>
          <w:iCs/>
          <w:sz w:val="23"/>
          <w:szCs w:val="23"/>
        </w:rPr>
        <w:t xml:space="preserve"> 379</w:t>
      </w:r>
      <w:r w:rsidRPr="00574764">
        <w:rPr>
          <w:rFonts w:ascii="Calibri" w:hAnsi="Calibri" w:cs="Calibri"/>
          <w:sz w:val="23"/>
          <w:szCs w:val="23"/>
        </w:rPr>
        <w:t>. https://doi.org/https://doi.org/10.1136/bmj-2021-068950</w:t>
      </w:r>
      <w:r w:rsidRPr="009A7F2D">
        <w:rPr>
          <w:rFonts w:ascii="Calibri" w:hAnsi="Calibri" w:cs="Calibri"/>
        </w:rPr>
        <w:t xml:space="preserve"> </w:t>
      </w:r>
    </w:p>
    <w:sectPr w:rsidR="009065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F005" w14:textId="77777777" w:rsidR="00425343" w:rsidRDefault="00425343" w:rsidP="00D00E60">
      <w:r>
        <w:separator/>
      </w:r>
    </w:p>
  </w:endnote>
  <w:endnote w:type="continuationSeparator" w:id="0">
    <w:p w14:paraId="4E5757F0" w14:textId="77777777" w:rsidR="00425343" w:rsidRDefault="00425343"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E22E" w14:textId="77777777" w:rsidR="00425343" w:rsidRDefault="00425343" w:rsidP="00D00E60">
      <w:r>
        <w:separator/>
      </w:r>
    </w:p>
  </w:footnote>
  <w:footnote w:type="continuationSeparator" w:id="0">
    <w:p w14:paraId="0A05FD31" w14:textId="77777777" w:rsidR="00425343" w:rsidRDefault="00425343"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141FE"/>
    <w:rsid w:val="00045D2C"/>
    <w:rsid w:val="00047C70"/>
    <w:rsid w:val="001C1584"/>
    <w:rsid w:val="0021326C"/>
    <w:rsid w:val="002B5ABA"/>
    <w:rsid w:val="003570F0"/>
    <w:rsid w:val="004175CE"/>
    <w:rsid w:val="00425343"/>
    <w:rsid w:val="00454FF1"/>
    <w:rsid w:val="004C1625"/>
    <w:rsid w:val="004F4741"/>
    <w:rsid w:val="00502FC5"/>
    <w:rsid w:val="00511802"/>
    <w:rsid w:val="005646D9"/>
    <w:rsid w:val="00572429"/>
    <w:rsid w:val="00682BFA"/>
    <w:rsid w:val="007773C9"/>
    <w:rsid w:val="00906512"/>
    <w:rsid w:val="00922FF4"/>
    <w:rsid w:val="00941E04"/>
    <w:rsid w:val="00A54AF7"/>
    <w:rsid w:val="00A76B9C"/>
    <w:rsid w:val="00A85667"/>
    <w:rsid w:val="00B22B76"/>
    <w:rsid w:val="00B4687E"/>
    <w:rsid w:val="00BA289F"/>
    <w:rsid w:val="00C16A3E"/>
    <w:rsid w:val="00C20DAA"/>
    <w:rsid w:val="00C736FA"/>
    <w:rsid w:val="00D00E60"/>
    <w:rsid w:val="00D41190"/>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014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loe.bryant@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Chloe Bryant</cp:lastModifiedBy>
  <cp:revision>5</cp:revision>
  <dcterms:created xsi:type="dcterms:W3CDTF">2024-02-28T08:52:00Z</dcterms:created>
  <dcterms:modified xsi:type="dcterms:W3CDTF">2024-02-28T12:51:00Z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