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5F4B53B9" w:rsidR="00D61347" w:rsidRDefault="0079533E" w:rsidP="00A54AF7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2023 </w:t>
      </w:r>
      <w:r w:rsidR="00D61347" w:rsidRPr="00454FF1">
        <w:rPr>
          <w:b/>
          <w:color w:val="000000"/>
          <w:sz w:val="32"/>
        </w:rPr>
        <w:t xml:space="preserve">UQ </w:t>
      </w:r>
      <w:r w:rsidR="00C736FA">
        <w:rPr>
          <w:b/>
          <w:color w:val="000000"/>
          <w:sz w:val="32"/>
        </w:rPr>
        <w:t>Winter</w:t>
      </w:r>
      <w:r w:rsidR="00D61347"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6B0DC9A8" w14:textId="77777777" w:rsidR="0079533E" w:rsidRDefault="0079533E" w:rsidP="00A54AF7">
      <w:pPr>
        <w:rPr>
          <w:b/>
          <w:color w:val="000000"/>
          <w:sz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6948"/>
      </w:tblGrid>
      <w:tr w:rsidR="00D61347" w:rsidRPr="00454FF1" w14:paraId="144F970C" w14:textId="77777777" w:rsidTr="0079533E">
        <w:tc>
          <w:tcPr>
            <w:tcW w:w="1960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948" w:type="dxa"/>
          </w:tcPr>
          <w:p w14:paraId="2ADA5084" w14:textId="41A22104" w:rsidR="00D61347" w:rsidRPr="00454FF1" w:rsidRDefault="00295CC7" w:rsidP="00FA33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 year in the life: The impact of MND dysarthria on close communication partners</w:t>
            </w:r>
          </w:p>
        </w:tc>
      </w:tr>
      <w:tr w:rsidR="00FA2569" w:rsidRPr="00454FF1" w14:paraId="498DFC9A" w14:textId="77777777" w:rsidTr="0079533E">
        <w:tc>
          <w:tcPr>
            <w:tcW w:w="1960" w:type="dxa"/>
            <w:shd w:val="clear" w:color="auto" w:fill="F2F2F2" w:themeFill="background1" w:themeFillShade="F2"/>
          </w:tcPr>
          <w:p w14:paraId="4C625896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6948" w:type="dxa"/>
          </w:tcPr>
          <w:p w14:paraId="4D79665F" w14:textId="36A1089B" w:rsidR="00FA3342" w:rsidRDefault="00FA3342" w:rsidP="00FA334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20 hours a week for 4 weeks</w:t>
            </w:r>
            <w:r w:rsidR="006F27FB">
              <w:rPr>
                <w:rFonts w:cstheme="minorHAnsi"/>
              </w:rPr>
              <w:t xml:space="preserve"> (during the winter break)</w:t>
            </w:r>
          </w:p>
          <w:p w14:paraId="67237490" w14:textId="77777777" w:rsidR="00FA3342" w:rsidRPr="00FA3342" w:rsidRDefault="00FA3342" w:rsidP="00FA3342">
            <w:pPr>
              <w:pStyle w:val="ListParagraph"/>
              <w:rPr>
                <w:rFonts w:cstheme="minorHAnsi"/>
              </w:rPr>
            </w:pPr>
          </w:p>
          <w:p w14:paraId="2E80CBC6" w14:textId="76811DBC" w:rsidR="00FA2569" w:rsidRPr="00941E04" w:rsidRDefault="00511802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COVID-19 considerations: </w:t>
            </w:r>
            <w:r w:rsidR="00FA3342">
              <w:rPr>
                <w:rFonts w:cstheme="minorHAnsi"/>
                <w:i/>
                <w:color w:val="000000"/>
              </w:rPr>
              <w:t>Flexible arrangements for working remotely can be accommodated.</w:t>
            </w:r>
          </w:p>
          <w:p w14:paraId="54E0A7B0" w14:textId="11187402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79533E">
        <w:tc>
          <w:tcPr>
            <w:tcW w:w="1960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6948" w:type="dxa"/>
          </w:tcPr>
          <w:p w14:paraId="37154ADB" w14:textId="7A42600E" w:rsidR="00F84092" w:rsidRDefault="006F27FB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Motor neurone disease (MND) is a fatal neurodegenerative disorder of the motor system, impacting an individual’s ability to walk, breathe, swallow, and speak. </w:t>
            </w:r>
            <w:r w:rsidR="00C56C60">
              <w:rPr>
                <w:rFonts w:cstheme="minorHAnsi"/>
              </w:rPr>
              <w:t>T</w:t>
            </w:r>
            <w:r>
              <w:rPr>
                <w:rFonts w:cstheme="minorHAnsi"/>
              </w:rPr>
              <w:t>he progressive loss of communication  is one of the most distressing and debilitating symptoms for people with MND (</w:t>
            </w:r>
            <w:proofErr w:type="spellStart"/>
            <w:r>
              <w:rPr>
                <w:rFonts w:cstheme="minorHAnsi"/>
              </w:rPr>
              <w:t>PwMND</w:t>
            </w:r>
            <w:proofErr w:type="spellEnd"/>
            <w:r>
              <w:rPr>
                <w:rFonts w:cstheme="minorHAnsi"/>
              </w:rPr>
              <w:t>)</w:t>
            </w:r>
            <w:r w:rsidR="00C56C60">
              <w:rPr>
                <w:rFonts w:cstheme="minorHAnsi"/>
              </w:rPr>
              <w:t xml:space="preserve">. However, </w:t>
            </w:r>
            <w:r>
              <w:rPr>
                <w:rFonts w:cstheme="minorHAnsi"/>
              </w:rPr>
              <w:t xml:space="preserve">little is known about the impacts of progressive communication loss </w:t>
            </w:r>
            <w:r w:rsidR="00C56C60">
              <w:rPr>
                <w:rFonts w:cstheme="minorHAnsi"/>
              </w:rPr>
              <w:t>experienced by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PwMND</w:t>
            </w:r>
            <w:proofErr w:type="spellEnd"/>
            <w:r>
              <w:rPr>
                <w:rFonts w:cstheme="minorHAnsi"/>
              </w:rPr>
              <w:t xml:space="preserve"> on their close communication partners</w:t>
            </w:r>
            <w:r w:rsidR="00C56C60">
              <w:rPr>
                <w:rFonts w:cstheme="minorHAnsi"/>
              </w:rPr>
              <w:t xml:space="preserve"> despite research showing carers of </w:t>
            </w:r>
            <w:proofErr w:type="spellStart"/>
            <w:r w:rsidR="00C56C60">
              <w:rPr>
                <w:rFonts w:cstheme="minorHAnsi"/>
              </w:rPr>
              <w:t>PwMND</w:t>
            </w:r>
            <w:proofErr w:type="spellEnd"/>
            <w:r w:rsidR="00C56C60">
              <w:rPr>
                <w:rFonts w:cstheme="minorHAnsi"/>
              </w:rPr>
              <w:t xml:space="preserve"> experience depression (Trail et al., 2003), reduced social closeness with family and friends (</w:t>
            </w:r>
            <w:proofErr w:type="spellStart"/>
            <w:r w:rsidR="00C56C60">
              <w:rPr>
                <w:rFonts w:cstheme="minorHAnsi"/>
              </w:rPr>
              <w:t>Mckelvey</w:t>
            </w:r>
            <w:proofErr w:type="spellEnd"/>
            <w:r w:rsidR="00C56C60">
              <w:rPr>
                <w:rFonts w:cstheme="minorHAnsi"/>
              </w:rPr>
              <w:t xml:space="preserve"> et al., 2012), and lower quality of life compared to other progressive neurodegenerative diseases (</w:t>
            </w:r>
            <w:proofErr w:type="spellStart"/>
            <w:r w:rsidR="00C56C60">
              <w:rPr>
                <w:rFonts w:cstheme="minorHAnsi"/>
              </w:rPr>
              <w:t>Kristjanson</w:t>
            </w:r>
            <w:proofErr w:type="spellEnd"/>
            <w:r w:rsidR="00C56C60">
              <w:rPr>
                <w:rFonts w:cstheme="minorHAnsi"/>
              </w:rPr>
              <w:t xml:space="preserve"> et al., 2006). Therefore, the aim of this project is to identify the impact progressive dysarthria </w:t>
            </w:r>
            <w:r w:rsidR="006E285F">
              <w:rPr>
                <w:rFonts w:cstheme="minorHAnsi"/>
              </w:rPr>
              <w:t>experienced by</w:t>
            </w:r>
            <w:r w:rsidR="00C56C60">
              <w:rPr>
                <w:rFonts w:cstheme="minorHAnsi"/>
              </w:rPr>
              <w:t xml:space="preserve"> </w:t>
            </w:r>
            <w:proofErr w:type="spellStart"/>
            <w:r w:rsidR="00C56C60">
              <w:rPr>
                <w:rFonts w:cstheme="minorHAnsi"/>
              </w:rPr>
              <w:t>PwMND</w:t>
            </w:r>
            <w:proofErr w:type="spellEnd"/>
            <w:r w:rsidR="00C56C60">
              <w:rPr>
                <w:rFonts w:cstheme="minorHAnsi"/>
              </w:rPr>
              <w:t xml:space="preserve"> has on close communication </w:t>
            </w:r>
            <w:r w:rsidR="00295CC7">
              <w:rPr>
                <w:rFonts w:cstheme="minorHAnsi"/>
              </w:rPr>
              <w:t>partners with disease progression</w:t>
            </w:r>
            <w:r w:rsidR="0079533E">
              <w:rPr>
                <w:rFonts w:cstheme="minorHAnsi"/>
              </w:rPr>
              <w:t xml:space="preserve">. </w:t>
            </w:r>
          </w:p>
          <w:p w14:paraId="1F04017C" w14:textId="77777777" w:rsidR="00FA2569" w:rsidRPr="00454FF1" w:rsidRDefault="00FA2569" w:rsidP="0057271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79533E">
        <w:trPr>
          <w:trHeight w:val="1028"/>
        </w:trPr>
        <w:tc>
          <w:tcPr>
            <w:tcW w:w="1960" w:type="dxa"/>
            <w:shd w:val="clear" w:color="auto" w:fill="F2F2F2" w:themeFill="background1" w:themeFillShade="F2"/>
          </w:tcPr>
          <w:p w14:paraId="2C262847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6948" w:type="dxa"/>
          </w:tcPr>
          <w:p w14:paraId="0197E95F" w14:textId="1934C9B6" w:rsidR="0079533E" w:rsidRPr="00AC4F11" w:rsidRDefault="00FA3342" w:rsidP="0079533E">
            <w:pPr>
              <w:rPr>
                <w:rFonts w:cstheme="minorHAnsi"/>
                <w:iCs/>
                <w:color w:val="000000"/>
              </w:rPr>
            </w:pPr>
            <w:r w:rsidRPr="0063563C">
              <w:rPr>
                <w:rFonts w:cstheme="minorHAnsi"/>
                <w:iCs/>
              </w:rPr>
              <w:t xml:space="preserve">The </w:t>
            </w:r>
            <w:r w:rsidR="0079533E">
              <w:rPr>
                <w:rFonts w:cstheme="minorHAnsi"/>
                <w:iCs/>
              </w:rPr>
              <w:t xml:space="preserve">winter research scholar can expect to learn a number of research skills such as transcription of interviews, data checking, </w:t>
            </w:r>
            <w:r>
              <w:rPr>
                <w:rFonts w:cstheme="minorHAnsi"/>
                <w:iCs/>
              </w:rPr>
              <w:t>data extraction,</w:t>
            </w:r>
            <w:r w:rsidRPr="0063563C">
              <w:rPr>
                <w:rFonts w:cstheme="minorHAnsi"/>
                <w:iCs/>
              </w:rPr>
              <w:t xml:space="preserve"> </w:t>
            </w:r>
            <w:r w:rsidR="0079533E">
              <w:rPr>
                <w:rFonts w:cstheme="minorHAnsi"/>
                <w:iCs/>
              </w:rPr>
              <w:t xml:space="preserve">and </w:t>
            </w:r>
            <w:r w:rsidRPr="0063563C">
              <w:rPr>
                <w:rFonts w:cstheme="minorHAnsi"/>
                <w:iCs/>
              </w:rPr>
              <w:t>qualitative methodolog</w:t>
            </w:r>
            <w:r w:rsidR="0079533E">
              <w:rPr>
                <w:rFonts w:cstheme="minorHAnsi"/>
                <w:iCs/>
              </w:rPr>
              <w:t>ies. General skills t</w:t>
            </w:r>
            <w:r w:rsidR="0079533E">
              <w:rPr>
                <w:rFonts w:cstheme="minorHAnsi"/>
                <w:iCs/>
                <w:color w:val="000000"/>
              </w:rPr>
              <w:t xml:space="preserve">he winter scholar will also gain include valuable skills in teamwork and general project management skills. </w:t>
            </w:r>
          </w:p>
          <w:p w14:paraId="10D9C4D6" w14:textId="3BE0875A" w:rsidR="00FA3342" w:rsidRDefault="00FA3342" w:rsidP="00FA3342">
            <w:pPr>
              <w:rPr>
                <w:rFonts w:cstheme="minorHAnsi"/>
                <w:iCs/>
              </w:rPr>
            </w:pPr>
            <w:r w:rsidRPr="0063563C">
              <w:rPr>
                <w:rFonts w:cstheme="minorHAnsi"/>
                <w:iCs/>
              </w:rPr>
              <w:t>Depending on interest,</w:t>
            </w:r>
            <w:r w:rsidR="0079533E">
              <w:rPr>
                <w:rFonts w:cstheme="minorHAnsi"/>
                <w:iCs/>
              </w:rPr>
              <w:t xml:space="preserve"> the winter</w:t>
            </w:r>
            <w:r w:rsidRPr="0063563C">
              <w:rPr>
                <w:rFonts w:cstheme="minorHAnsi"/>
                <w:iCs/>
              </w:rPr>
              <w:t xml:space="preserve"> scholar</w:t>
            </w:r>
            <w:r w:rsidR="0079533E">
              <w:rPr>
                <w:rFonts w:cstheme="minorHAnsi"/>
                <w:iCs/>
              </w:rPr>
              <w:t xml:space="preserve"> </w:t>
            </w:r>
            <w:r w:rsidRPr="0063563C">
              <w:rPr>
                <w:rFonts w:cstheme="minorHAnsi"/>
                <w:iCs/>
              </w:rPr>
              <w:t>may have the opportunity to contribute to a publication.</w:t>
            </w:r>
          </w:p>
          <w:p w14:paraId="08DC5C6A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F67794">
        <w:trPr>
          <w:trHeight w:val="1125"/>
        </w:trPr>
        <w:tc>
          <w:tcPr>
            <w:tcW w:w="1960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6948" w:type="dxa"/>
          </w:tcPr>
          <w:p w14:paraId="3674F40C" w14:textId="00DDED10" w:rsidR="00FA2569" w:rsidRPr="00454FF1" w:rsidRDefault="00FA3342" w:rsidP="007B3802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 xml:space="preserve">This project is open to applications from UQ </w:t>
            </w:r>
            <w:r w:rsidR="007B3802">
              <w:rPr>
                <w:rFonts w:cstheme="minorHAnsi"/>
                <w:color w:val="000000"/>
              </w:rPr>
              <w:t xml:space="preserve">speech pathology highly motivated and organised </w:t>
            </w:r>
            <w:r>
              <w:rPr>
                <w:rFonts w:cstheme="minorHAnsi"/>
                <w:color w:val="000000"/>
              </w:rPr>
              <w:t xml:space="preserve">students from the School of Health and Rehabilitation Sciences who have completed at least 2 years of study. </w:t>
            </w:r>
          </w:p>
        </w:tc>
      </w:tr>
      <w:tr w:rsidR="00FA2569" w:rsidRPr="00454FF1" w14:paraId="090A1DC5" w14:textId="77777777" w:rsidTr="0079533E">
        <w:tc>
          <w:tcPr>
            <w:tcW w:w="1960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6948" w:type="dxa"/>
          </w:tcPr>
          <w:p w14:paraId="182705BB" w14:textId="3BCC9644" w:rsidR="00FA2569" w:rsidRPr="00941E04" w:rsidRDefault="00FA3342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Rebecca Packer and Dr Salma Charania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79533E">
        <w:trPr>
          <w:trHeight w:val="446"/>
        </w:trPr>
        <w:tc>
          <w:tcPr>
            <w:tcW w:w="1960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6948" w:type="dxa"/>
          </w:tcPr>
          <w:p w14:paraId="57BE2138" w14:textId="1E7C1ECB" w:rsidR="00941E04" w:rsidRPr="00941E04" w:rsidRDefault="00FA3342" w:rsidP="00FA33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contact Dr Charania at </w:t>
            </w:r>
            <w:hyperlink r:id="rId7" w:history="1">
              <w:r w:rsidRPr="002B51DE">
                <w:rPr>
                  <w:rStyle w:val="Hyperlink"/>
                  <w:rFonts w:cstheme="minorHAnsi"/>
                </w:rPr>
                <w:t>s.cahrania@uq.edu.au</w:t>
              </w:r>
            </w:hyperlink>
            <w:r>
              <w:rPr>
                <w:rFonts w:cstheme="minorHAnsi"/>
              </w:rPr>
              <w:t xml:space="preserve"> for further information about the project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B9F3" w14:textId="77777777" w:rsidR="00241860" w:rsidRDefault="00241860" w:rsidP="00D00E60">
      <w:r>
        <w:separator/>
      </w:r>
    </w:p>
  </w:endnote>
  <w:endnote w:type="continuationSeparator" w:id="0">
    <w:p w14:paraId="49D2946D" w14:textId="77777777" w:rsidR="00241860" w:rsidRDefault="0024186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62E2" w14:textId="77777777" w:rsidR="00241860" w:rsidRDefault="00241860" w:rsidP="00D00E60">
      <w:r>
        <w:separator/>
      </w:r>
    </w:p>
  </w:footnote>
  <w:footnote w:type="continuationSeparator" w:id="0">
    <w:p w14:paraId="4C727413" w14:textId="77777777" w:rsidR="00241860" w:rsidRDefault="0024186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A66"/>
    <w:multiLevelType w:val="hybridMultilevel"/>
    <w:tmpl w:val="EEBA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1"/>
  </w:num>
  <w:num w:numId="2" w16cid:durableId="35430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1C1584"/>
    <w:rsid w:val="00241860"/>
    <w:rsid w:val="00295CC7"/>
    <w:rsid w:val="002B5ABA"/>
    <w:rsid w:val="00321EE6"/>
    <w:rsid w:val="003570F0"/>
    <w:rsid w:val="004175CE"/>
    <w:rsid w:val="00454FF1"/>
    <w:rsid w:val="004C1625"/>
    <w:rsid w:val="00502FC5"/>
    <w:rsid w:val="00511802"/>
    <w:rsid w:val="005646D9"/>
    <w:rsid w:val="00572429"/>
    <w:rsid w:val="006E285F"/>
    <w:rsid w:val="006F27FB"/>
    <w:rsid w:val="0079533E"/>
    <w:rsid w:val="007B3802"/>
    <w:rsid w:val="00941E04"/>
    <w:rsid w:val="0096181B"/>
    <w:rsid w:val="00A54AF7"/>
    <w:rsid w:val="00A76B9C"/>
    <w:rsid w:val="00A85667"/>
    <w:rsid w:val="00BA289F"/>
    <w:rsid w:val="00C16A3E"/>
    <w:rsid w:val="00C20DAA"/>
    <w:rsid w:val="00C56C60"/>
    <w:rsid w:val="00C736FA"/>
    <w:rsid w:val="00C86CDF"/>
    <w:rsid w:val="00D00E60"/>
    <w:rsid w:val="00D41190"/>
    <w:rsid w:val="00D553BD"/>
    <w:rsid w:val="00D61347"/>
    <w:rsid w:val="00F67794"/>
    <w:rsid w:val="00F84092"/>
    <w:rsid w:val="00FA2569"/>
    <w:rsid w:val="00F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cahrania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Salma Charania</cp:lastModifiedBy>
  <cp:revision>11</cp:revision>
  <dcterms:created xsi:type="dcterms:W3CDTF">2023-02-04T23:06:00Z</dcterms:created>
  <dcterms:modified xsi:type="dcterms:W3CDTF">2023-03-02T06:15:00Z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